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eastAsia="黑体"/>
          <w:b/>
          <w:color w:val="auto"/>
          <w:sz w:val="36"/>
          <w:highlight w:val="none"/>
          <w:lang w:val="en-US" w:eastAsia="zh-CN"/>
        </w:rPr>
      </w:pPr>
      <w:r>
        <w:rPr>
          <w:rFonts w:hint="eastAsia" w:eastAsia="黑体"/>
          <w:b/>
          <w:color w:val="auto"/>
          <w:sz w:val="28"/>
          <w:highlight w:val="none"/>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7"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jc w:val="center"/>
        <w:rPr>
          <w:rFonts w:ascii="黑体" w:eastAsia="黑体"/>
          <w:b/>
          <w:color w:val="auto"/>
          <w:sz w:val="72"/>
          <w:szCs w:val="32"/>
          <w:highlight w:val="none"/>
        </w:rPr>
      </w:pPr>
      <w:r>
        <w:rPr>
          <w:rFonts w:hint="eastAsia" w:ascii="黑体" w:eastAsia="黑体"/>
          <w:b/>
          <w:color w:val="auto"/>
          <w:sz w:val="72"/>
          <w:szCs w:val="32"/>
          <w:highlight w:val="none"/>
          <w:lang w:eastAsia="zh-CN"/>
        </w:rPr>
        <w:t>国内</w:t>
      </w:r>
      <w:r>
        <w:rPr>
          <w:rFonts w:hint="eastAsia" w:ascii="黑体" w:eastAsia="黑体"/>
          <w:b/>
          <w:color w:val="auto"/>
          <w:sz w:val="72"/>
          <w:szCs w:val="32"/>
          <w:highlight w:val="none"/>
        </w:rPr>
        <w:t>采购</w:t>
      </w:r>
    </w:p>
    <w:p>
      <w:pPr>
        <w:jc w:val="center"/>
        <w:rPr>
          <w:b/>
          <w:color w:val="auto"/>
          <w:sz w:val="72"/>
          <w:szCs w:val="32"/>
          <w:highlight w:val="none"/>
        </w:rPr>
      </w:pPr>
      <w:r>
        <w:rPr>
          <w:rFonts w:hint="eastAsia" w:ascii="黑体" w:eastAsia="黑体"/>
          <w:b/>
          <w:color w:val="auto"/>
          <w:sz w:val="72"/>
          <w:szCs w:val="32"/>
          <w:highlight w:val="none"/>
        </w:rPr>
        <w:t>公开招标文件</w:t>
      </w:r>
    </w:p>
    <w:p>
      <w:pPr>
        <w:jc w:val="center"/>
        <w:rPr>
          <w:color w:val="auto"/>
          <w:highlight w:val="none"/>
        </w:rPr>
      </w:pPr>
    </w:p>
    <w:p>
      <w:pPr>
        <w:jc w:val="center"/>
        <w:rPr>
          <w:color w:val="auto"/>
          <w:highlight w:val="none"/>
        </w:rPr>
      </w:pPr>
    </w:p>
    <w:p>
      <w:pPr>
        <w:rPr>
          <w:color w:val="auto"/>
          <w:highlight w:val="none"/>
        </w:rPr>
      </w:pPr>
    </w:p>
    <w:p>
      <w:pPr>
        <w:rPr>
          <w:rFonts w:ascii="Arial" w:hAnsi="Arial" w:eastAsia="黑体" w:cs="Arial"/>
          <w:bCs/>
          <w:color w:val="auto"/>
          <w:sz w:val="44"/>
          <w:highlight w:val="none"/>
        </w:rPr>
      </w:pPr>
      <w:r>
        <w:rPr>
          <w:rFonts w:ascii="Arial" w:hAnsi="Arial" w:eastAsia="黑体" w:cs="Arial"/>
          <w:bCs/>
          <w:color w:val="auto"/>
          <w:sz w:val="44"/>
          <w:highlight w:val="none"/>
        </w:rPr>
        <w:t xml:space="preserve">项目名称： </w:t>
      </w:r>
      <w:r>
        <w:rPr>
          <w:rFonts w:hint="eastAsia" w:ascii="Arial" w:hAnsi="Arial" w:eastAsia="黑体" w:cs="Arial"/>
          <w:bCs/>
          <w:color w:val="auto"/>
          <w:sz w:val="44"/>
          <w:highlight w:val="none"/>
          <w:lang w:eastAsia="zh-CN"/>
        </w:rPr>
        <w:t>东莞市石排镇田寮股份经济联合社800kVA预装式变电站</w:t>
      </w:r>
      <w:r>
        <w:rPr>
          <w:rFonts w:hint="eastAsia" w:ascii="Arial" w:hAnsi="Arial" w:eastAsia="黑体" w:cs="Arial"/>
          <w:bCs/>
          <w:color w:val="auto"/>
          <w:sz w:val="44"/>
          <w:highlight w:val="none"/>
        </w:rPr>
        <w:t>项目</w:t>
      </w:r>
    </w:p>
    <w:p>
      <w:pPr>
        <w:rPr>
          <w:rFonts w:ascii="Arial" w:hAnsi="Arial" w:eastAsia="黑体" w:cs="Arial"/>
          <w:bCs/>
          <w:color w:val="auto"/>
          <w:sz w:val="44"/>
          <w:highlight w:val="none"/>
        </w:rPr>
      </w:pPr>
      <w:r>
        <w:rPr>
          <w:rFonts w:hint="eastAsia" w:ascii="Arial" w:hAnsi="Arial" w:eastAsia="黑体" w:cs="Arial"/>
          <w:bCs/>
          <w:color w:val="auto"/>
          <w:sz w:val="44"/>
          <w:highlight w:val="none"/>
          <w:lang w:eastAsia="zh-CN"/>
        </w:rPr>
        <w:t>采购项目编号</w:t>
      </w:r>
      <w:r>
        <w:rPr>
          <w:rFonts w:ascii="Arial" w:hAnsi="Arial" w:eastAsia="黑体" w:cs="Arial"/>
          <w:bCs/>
          <w:color w:val="auto"/>
          <w:sz w:val="44"/>
          <w:highlight w:val="none"/>
        </w:rPr>
        <w:t xml:space="preserve">： </w:t>
      </w:r>
      <w:r>
        <w:rPr>
          <w:rFonts w:hint="eastAsia" w:ascii="Arial" w:hAnsi="Arial" w:eastAsia="黑体" w:cs="Arial"/>
          <w:bCs/>
          <w:color w:val="auto"/>
          <w:sz w:val="44"/>
          <w:highlight w:val="none"/>
        </w:rPr>
        <w:t>0832-SFCX20DG30</w:t>
      </w:r>
      <w:r>
        <w:rPr>
          <w:rFonts w:hint="eastAsia" w:ascii="Arial" w:hAnsi="Arial" w:eastAsia="黑体" w:cs="Arial"/>
          <w:bCs/>
          <w:color w:val="auto"/>
          <w:sz w:val="44"/>
          <w:highlight w:val="none"/>
          <w:lang w:val="en-US" w:eastAsia="zh-CN"/>
        </w:rPr>
        <w:t>3</w:t>
      </w:r>
      <w:r>
        <w:rPr>
          <w:rFonts w:hint="eastAsia" w:ascii="Arial" w:hAnsi="Arial" w:eastAsia="黑体" w:cs="Arial"/>
          <w:bCs/>
          <w:color w:val="auto"/>
          <w:sz w:val="44"/>
          <w:highlight w:val="none"/>
        </w:rPr>
        <w:t>C</w:t>
      </w:r>
    </w:p>
    <w:p>
      <w:pPr>
        <w:rPr>
          <w:rFonts w:hint="eastAsia" w:ascii="Arial" w:hAnsi="Arial" w:eastAsia="黑体" w:cs="Arial"/>
          <w:bCs/>
          <w:color w:val="auto"/>
          <w:sz w:val="28"/>
          <w:highlight w:val="none"/>
          <w:lang w:eastAsia="zh-CN"/>
        </w:rPr>
      </w:pPr>
      <w:r>
        <w:rPr>
          <w:rFonts w:hint="eastAsia" w:ascii="Arial" w:hAnsi="Arial" w:eastAsia="黑体" w:cs="Arial"/>
          <w:bCs/>
          <w:color w:val="auto"/>
          <w:sz w:val="44"/>
          <w:highlight w:val="none"/>
        </w:rPr>
        <w:t>采购人</w:t>
      </w:r>
      <w:r>
        <w:rPr>
          <w:rFonts w:ascii="Arial" w:hAnsi="Arial" w:eastAsia="黑体" w:cs="Arial"/>
          <w:bCs/>
          <w:color w:val="auto"/>
          <w:sz w:val="44"/>
          <w:highlight w:val="none"/>
        </w:rPr>
        <w:t>：</w:t>
      </w:r>
      <w:r>
        <w:rPr>
          <w:rFonts w:hint="eastAsia" w:ascii="Arial" w:hAnsi="Arial" w:eastAsia="黑体" w:cs="Arial"/>
          <w:bCs/>
          <w:color w:val="auto"/>
          <w:sz w:val="28"/>
          <w:highlight w:val="none"/>
        </w:rPr>
        <w:t xml:space="preserve"> </w:t>
      </w:r>
      <w:r>
        <w:rPr>
          <w:rFonts w:hint="eastAsia" w:ascii="Arial" w:hAnsi="Arial" w:eastAsia="黑体" w:cs="Arial"/>
          <w:bCs/>
          <w:color w:val="auto"/>
          <w:sz w:val="44"/>
          <w:highlight w:val="none"/>
          <w:lang w:eastAsia="zh-CN"/>
        </w:rPr>
        <w:t>东莞市石排镇田寮股份经济联合社</w:t>
      </w:r>
    </w:p>
    <w:p>
      <w:pPr>
        <w:jc w:val="both"/>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hint="eastAsia" w:ascii="黑体" w:eastAsia="黑体"/>
          <w:color w:val="auto"/>
          <w:sz w:val="52"/>
          <w:szCs w:val="44"/>
          <w:highlight w:val="none"/>
          <w:lang w:eastAsia="zh-CN"/>
        </w:rPr>
      </w:pPr>
      <w:r>
        <w:rPr>
          <w:rFonts w:hint="eastAsia" w:ascii="黑体" w:eastAsia="黑体"/>
          <w:color w:val="auto"/>
          <w:sz w:val="52"/>
          <w:szCs w:val="44"/>
          <w:highlight w:val="none"/>
          <w:lang w:eastAsia="zh-CN"/>
        </w:rPr>
        <w:t>三方诚信招标有限公司</w:t>
      </w:r>
    </w:p>
    <w:p>
      <w:pPr>
        <w:jc w:val="center"/>
        <w:rPr>
          <w:rFonts w:ascii="黑体" w:eastAsia="黑体"/>
          <w:color w:val="auto"/>
          <w:sz w:val="52"/>
          <w:szCs w:val="44"/>
          <w:highlight w:val="none"/>
        </w:rPr>
      </w:pPr>
      <w:r>
        <w:rPr>
          <w:rFonts w:hint="eastAsia" w:ascii="黑体" w:eastAsia="黑体"/>
          <w:color w:val="auto"/>
          <w:sz w:val="52"/>
          <w:szCs w:val="44"/>
          <w:highlight w:val="none"/>
        </w:rPr>
        <w:t>东莞分公司</w:t>
      </w:r>
    </w:p>
    <w:p>
      <w:pPr>
        <w:pStyle w:val="14"/>
        <w:rPr>
          <w:color w:val="auto"/>
          <w:sz w:val="32"/>
          <w:szCs w:val="32"/>
          <w:highlight w:val="none"/>
        </w:rPr>
        <w:sectPr>
          <w:headerReference r:id="rId3" w:type="default"/>
          <w:pgSz w:w="11906" w:h="16838"/>
          <w:pgMar w:top="1440" w:right="1800" w:bottom="1440" w:left="1800" w:header="708" w:footer="708" w:gutter="0"/>
          <w:pgNumType w:start="0"/>
          <w:cols w:space="708" w:num="1"/>
          <w:titlePg/>
          <w:docGrid w:type="lines" w:linePitch="360" w:charSpace="0"/>
        </w:sectPr>
      </w:pPr>
    </w:p>
    <w:p>
      <w:pPr>
        <w:pStyle w:val="14"/>
        <w:rPr>
          <w:color w:val="auto"/>
          <w:sz w:val="40"/>
          <w:szCs w:val="40"/>
          <w:highlight w:val="none"/>
        </w:rPr>
      </w:pPr>
      <w:r>
        <w:rPr>
          <w:rFonts w:hint="eastAsia"/>
          <w:color w:val="auto"/>
          <w:sz w:val="40"/>
          <w:szCs w:val="40"/>
          <w:highlight w:val="none"/>
        </w:rPr>
        <w:t>目录</w:t>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第二部分 相关资料表格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附表一：投标资料表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_Toc11083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附表二：商务技术评分及价格权重表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_Toc11083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_Toc23932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第三部分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_Toc23932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用户需求明细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第四部分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_Toc9559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一、 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_Toc9559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_Toc18092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_Toc18092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_Toc14885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_Toc14885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_Toc25490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_Toc15919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_Toc9408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_Toc9408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_Toc13781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二、 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_Toc13781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_Toc30594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_Toc30594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_Toc8709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三、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_Toc8709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_Toc30245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_Toc30245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_Toc19904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_Toc10722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_Toc28478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_Toc10743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_Toc5391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_Toc5391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_Toc5886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_Toc5886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五、 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_Toc30340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_Toc30340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_Toc23115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_Toc23115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_Toc16902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六、 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_Toc16902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_Toc24457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30.发布中标结果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_Toc24457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_Toc29766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_Toc23764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_Toc23764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_Toc19464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七、 询问或质疑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_Toc19464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_Toc27711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_Toc10071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八、 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_Toc27449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第五部分 合同格式（仅供参考）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合同格式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_Toc3566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第六部分  附件－投标文件格式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_Toc3566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_Toc13312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_Toc13312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_Toc9857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_Toc9857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_Toc23548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_Toc23548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_Toc7877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附件4. 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_Toc20013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附件5. 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_Toc9057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_Toc9057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_Toc25635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附件10. 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_Toc15430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附件11. 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_Toc15430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_Toc31958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_Toc26041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_Toc26041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_Toc11366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附件14. 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_Toc11366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附件15. 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_Toc30553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_Toc30553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_Toc11132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240" w:lineRule="auto"/>
        <w:ind w:left="0" w:leftChars="0"/>
        <w:jc w:val="both"/>
        <w:textAlignment w:val="auto"/>
        <w:rPr>
          <w:rFonts w:cs="宋体"/>
          <w:color w:val="auto"/>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14"/>
        <w:tabs>
          <w:tab w:val="right" w:leader="dot" w:pos="8306"/>
          <w:tab w:val="clear" w:pos="8296"/>
        </w:tabs>
        <w:spacing w:line="240" w:lineRule="auto"/>
        <w:ind w:left="0" w:leftChars="0"/>
        <w:jc w:val="both"/>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第一部分 投标邀请</w:t>
      </w:r>
    </w:p>
    <w:p>
      <w:pPr>
        <w:pStyle w:val="4"/>
        <w:spacing w:before="0" w:after="0" w:line="360" w:lineRule="auto"/>
        <w:jc w:val="center"/>
        <w:rPr>
          <w:rFonts w:ascii="宋体" w:hAnsi="宋体" w:eastAsia="宋体" w:cs="宋体"/>
          <w:color w:val="auto"/>
          <w:highlight w:val="none"/>
        </w:rPr>
      </w:pPr>
      <w:bookmarkStart w:id="0" w:name="_Toc17720"/>
      <w:r>
        <w:rPr>
          <w:rFonts w:hint="eastAsia" w:ascii="宋体" w:hAnsi="宋体" w:eastAsia="宋体" w:cs="宋体"/>
          <w:color w:val="auto"/>
          <w:highlight w:val="none"/>
        </w:rPr>
        <w:t>投标邀请书</w:t>
      </w:r>
      <w:bookmarkEnd w:id="0"/>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color w:val="auto"/>
          <w:sz w:val="21"/>
          <w:szCs w:val="21"/>
          <w:highlight w:val="none"/>
          <w:u w:val="single"/>
          <w:lang w:eastAsia="zh-CN"/>
        </w:rPr>
        <w:t>东莞市石排镇田寮股份经济联合社</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color w:val="auto"/>
          <w:sz w:val="21"/>
          <w:szCs w:val="21"/>
          <w:highlight w:val="none"/>
          <w:u w:val="single"/>
          <w:lang w:eastAsia="zh-CN"/>
        </w:rPr>
        <w:t>东莞市石排镇田寮股份经济联合社800kVA预装式变电站</w:t>
      </w:r>
      <w:r>
        <w:rPr>
          <w:rFonts w:hint="eastAsia" w:ascii="宋体" w:hAnsi="宋体" w:eastAsia="宋体"/>
          <w:b/>
          <w:color w:val="auto"/>
          <w:sz w:val="21"/>
          <w:szCs w:val="21"/>
          <w:highlight w:val="none"/>
          <w:u w:val="single"/>
        </w:rPr>
        <w:t>项目</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u w:val="single"/>
        </w:rPr>
        <w:t>0832-SFCX20DG30</w:t>
      </w:r>
      <w:r>
        <w:rPr>
          <w:rFonts w:hint="eastAsia" w:ascii="宋体" w:hAnsi="宋体" w:eastAsia="宋体"/>
          <w:b/>
          <w:color w:val="auto"/>
          <w:sz w:val="21"/>
          <w:szCs w:val="21"/>
          <w:highlight w:val="none"/>
          <w:u w:val="single"/>
          <w:lang w:val="en-US" w:eastAsia="zh-CN"/>
        </w:rPr>
        <w:t>3</w:t>
      </w:r>
      <w:r>
        <w:rPr>
          <w:rFonts w:hint="eastAsia" w:ascii="宋体" w:hAnsi="宋体" w:eastAsia="宋体"/>
          <w:b/>
          <w:color w:val="auto"/>
          <w:sz w:val="21"/>
          <w:szCs w:val="21"/>
          <w:highlight w:val="none"/>
          <w:u w:val="single"/>
        </w:rPr>
        <w:t>C</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color w:val="auto"/>
          <w:sz w:val="21"/>
          <w:szCs w:val="21"/>
          <w:highlight w:val="none"/>
          <w:u w:val="single"/>
          <w:lang w:eastAsia="zh-CN"/>
        </w:rPr>
        <w:t>东莞市石排镇田寮股份经济联合社800kVA预装式变电站</w:t>
      </w:r>
      <w:r>
        <w:rPr>
          <w:rFonts w:hint="eastAsia" w:ascii="宋体" w:hAnsi="宋体" w:eastAsia="宋体"/>
          <w:color w:val="auto"/>
          <w:sz w:val="21"/>
          <w:szCs w:val="21"/>
          <w:highlight w:val="none"/>
        </w:rPr>
        <w:t>采购一项，预算：</w:t>
      </w:r>
      <w:r>
        <w:rPr>
          <w:rFonts w:hint="eastAsia" w:ascii="宋体" w:hAnsi="宋体" w:eastAsia="宋体"/>
          <w:b/>
          <w:color w:val="auto"/>
          <w:sz w:val="21"/>
          <w:szCs w:val="21"/>
          <w:highlight w:val="none"/>
          <w:u w:val="single"/>
          <w:lang w:val="en-US" w:eastAsia="zh-CN"/>
        </w:rPr>
        <w:t>415,000.00</w:t>
      </w:r>
      <w:r>
        <w:rPr>
          <w:rFonts w:hint="eastAsia" w:ascii="宋体" w:hAnsi="宋体" w:eastAsia="宋体"/>
          <w:color w:val="auto"/>
          <w:sz w:val="21"/>
          <w:szCs w:val="21"/>
          <w:highlight w:val="none"/>
        </w:rPr>
        <w:t>元。</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（1）具有《承装（修）、试电力设施许可证》证书，或送（输）变电工程专业承包企业资质，或电力工程施工总承包资质证书。</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三、项目公示时间、报名时间、地点、方式及招标文件售价</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w:t>
      </w:r>
      <w:r>
        <w:rPr>
          <w:rFonts w:hint="eastAsia" w:ascii="宋体" w:hAnsi="宋体" w:eastAsia="宋体"/>
          <w:color w:val="auto"/>
          <w:sz w:val="21"/>
          <w:szCs w:val="21"/>
          <w:highlight w:val="none"/>
          <w:lang w:val="en-US" w:eastAsia="zh-CN"/>
        </w:rPr>
        <w:t>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日起至20</w:t>
      </w:r>
      <w:r>
        <w:rPr>
          <w:rFonts w:hint="eastAsia" w:ascii="宋体" w:hAnsi="宋体" w:eastAsia="宋体"/>
          <w:color w:val="auto"/>
          <w:sz w:val="21"/>
          <w:szCs w:val="21"/>
          <w:highlight w:val="none"/>
          <w:lang w:val="en-US" w:eastAsia="zh-CN"/>
        </w:rPr>
        <w:t>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2、报名</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w:t>
      </w:r>
      <w:r>
        <w:rPr>
          <w:rFonts w:hint="eastAsia" w:ascii="宋体" w:hAnsi="宋体" w:eastAsia="宋体"/>
          <w:color w:val="auto"/>
          <w:sz w:val="21"/>
          <w:szCs w:val="21"/>
          <w:highlight w:val="none"/>
          <w:lang w:val="en-US" w:eastAsia="zh-CN"/>
        </w:rPr>
        <w:t>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日起至20</w:t>
      </w:r>
      <w:r>
        <w:rPr>
          <w:rFonts w:hint="eastAsia" w:ascii="宋体" w:hAnsi="宋体" w:eastAsia="宋体"/>
          <w:color w:val="auto"/>
          <w:sz w:val="21"/>
          <w:szCs w:val="21"/>
          <w:highlight w:val="none"/>
          <w:lang w:val="en-US" w:eastAsia="zh-CN"/>
        </w:rPr>
        <w:t>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日（节假日除外），上午9：00～12：00，下午14：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0～17：</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 xml:space="preserve">0（北京时间）。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3、项目报名地点：东莞市南城街道鸿福西路81号国际商会大厦</w:t>
      </w:r>
      <w:r>
        <w:rPr>
          <w:rFonts w:hint="eastAsia" w:ascii="宋体" w:hAnsi="宋体" w:eastAsia="宋体"/>
          <w:color w:val="auto"/>
          <w:sz w:val="21"/>
          <w:szCs w:val="21"/>
          <w:highlight w:val="none"/>
          <w:lang w:val="en-US" w:eastAsia="zh-CN"/>
        </w:rPr>
        <w:t>706</w:t>
      </w:r>
      <w:r>
        <w:rPr>
          <w:rFonts w:hint="eastAsia" w:ascii="宋体" w:hAnsi="宋体" w:eastAsia="宋体"/>
          <w:color w:val="auto"/>
          <w:sz w:val="21"/>
          <w:szCs w:val="21"/>
          <w:highlight w:val="none"/>
        </w:rPr>
        <w:t>室。</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val="en-US" w:eastAsia="zh-CN"/>
        </w:rPr>
        <w:t>黄雯静</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联系电话：0769-21682660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4、报名方式：</w:t>
      </w:r>
      <w:r>
        <w:rPr>
          <w:rFonts w:hint="eastAsia" w:ascii="宋体" w:hAnsi="宋体" w:eastAsia="宋体"/>
          <w:color w:val="auto"/>
          <w:sz w:val="21"/>
          <w:szCs w:val="21"/>
          <w:highlight w:val="none"/>
          <w:lang w:eastAsia="zh-CN"/>
        </w:rPr>
        <w:t>现场</w:t>
      </w:r>
      <w:r>
        <w:rPr>
          <w:rFonts w:hint="eastAsia" w:ascii="宋体" w:hAnsi="宋体" w:eastAsia="宋体"/>
          <w:color w:val="auto"/>
          <w:sz w:val="21"/>
          <w:szCs w:val="21"/>
          <w:highlight w:val="none"/>
        </w:rPr>
        <w:t>报名。</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投标人在购买招标文件时须提供如下证明材料：《营业执照》复印件（加盖公章）或《事业单位法人证书》复印件（加盖公章）或其他主体证书复印件（加盖公章）</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5、招标文件售价：每套人民币150元。</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6、购买了招标文件，而不参加投标的投标人，请在开标日期三日前以纸质版形式通知采购代理机构。</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四、投标截止时间、开标时间及地点</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w:t>
      </w:r>
      <w:r>
        <w:rPr>
          <w:rFonts w:hint="eastAsia" w:ascii="宋体" w:hAnsi="宋体" w:eastAsia="宋体"/>
          <w:bCs/>
          <w:color w:val="auto"/>
          <w:sz w:val="21"/>
          <w:szCs w:val="21"/>
          <w:highlight w:val="none"/>
          <w:lang w:val="en-US" w:eastAsia="zh-CN"/>
        </w:rPr>
        <w:t>20</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12</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22</w:t>
      </w:r>
      <w:r>
        <w:rPr>
          <w:rFonts w:hint="eastAsia" w:ascii="宋体" w:hAnsi="宋体" w:eastAsia="宋体"/>
          <w:bCs/>
          <w:color w:val="auto"/>
          <w:sz w:val="21"/>
          <w:szCs w:val="21"/>
          <w:highlight w:val="none"/>
        </w:rPr>
        <w:t>日下午14：</w:t>
      </w:r>
      <w:r>
        <w:rPr>
          <w:rFonts w:hint="eastAsia" w:ascii="宋体" w:hAnsi="宋体" w:eastAsia="宋体"/>
          <w:bCs/>
          <w:color w:val="auto"/>
          <w:sz w:val="21"/>
          <w:szCs w:val="21"/>
          <w:highlight w:val="none"/>
          <w:lang w:val="en-US" w:eastAsia="zh-CN"/>
        </w:rPr>
        <w:t>3</w:t>
      </w:r>
      <w:r>
        <w:rPr>
          <w:rFonts w:hint="eastAsia" w:ascii="宋体" w:hAnsi="宋体" w:eastAsia="宋体"/>
          <w:bCs/>
          <w:color w:val="auto"/>
          <w:sz w:val="21"/>
          <w:szCs w:val="21"/>
          <w:highlight w:val="none"/>
        </w:rPr>
        <w:t>0～1</w:t>
      </w:r>
      <w:r>
        <w:rPr>
          <w:rFonts w:hint="eastAsia" w:ascii="宋体" w:hAnsi="宋体" w:eastAsia="宋体"/>
          <w:bCs/>
          <w:color w:val="auto"/>
          <w:sz w:val="21"/>
          <w:szCs w:val="21"/>
          <w:highlight w:val="none"/>
          <w:lang w:val="en-US" w:eastAsia="zh-CN"/>
        </w:rPr>
        <w:t>5</w:t>
      </w:r>
      <w:r>
        <w:rPr>
          <w:rFonts w:hint="eastAsia" w:ascii="宋体" w:hAnsi="宋体" w:eastAsia="宋体"/>
          <w:bCs/>
          <w:color w:val="auto"/>
          <w:sz w:val="21"/>
          <w:szCs w:val="21"/>
          <w:highlight w:val="none"/>
        </w:rPr>
        <w:t>：</w:t>
      </w:r>
      <w:r>
        <w:rPr>
          <w:rFonts w:hint="eastAsia" w:ascii="宋体" w:hAnsi="宋体" w:eastAsia="宋体"/>
          <w:bCs/>
          <w:color w:val="auto"/>
          <w:sz w:val="21"/>
          <w:szCs w:val="21"/>
          <w:highlight w:val="none"/>
          <w:lang w:val="en-US" w:eastAsia="zh-CN"/>
        </w:rPr>
        <w:t>0</w:t>
      </w:r>
      <w:r>
        <w:rPr>
          <w:rFonts w:hint="eastAsia" w:ascii="宋体" w:hAnsi="宋体" w:eastAsia="宋体"/>
          <w:bCs/>
          <w:color w:val="auto"/>
          <w:sz w:val="21"/>
          <w:szCs w:val="21"/>
          <w:highlight w:val="none"/>
        </w:rPr>
        <w:t>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w:t>
      </w:r>
      <w:r>
        <w:rPr>
          <w:rFonts w:hint="eastAsia" w:ascii="宋体" w:hAnsi="宋体" w:eastAsia="宋体"/>
          <w:bCs/>
          <w:color w:val="auto"/>
          <w:sz w:val="21"/>
          <w:szCs w:val="21"/>
          <w:highlight w:val="none"/>
          <w:lang w:val="en-US" w:eastAsia="zh-CN"/>
        </w:rPr>
        <w:t>20</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12</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22</w:t>
      </w:r>
      <w:r>
        <w:rPr>
          <w:rFonts w:hint="eastAsia" w:ascii="宋体" w:hAnsi="宋体" w:eastAsia="宋体"/>
          <w:bCs/>
          <w:color w:val="auto"/>
          <w:sz w:val="21"/>
          <w:szCs w:val="21"/>
          <w:highlight w:val="none"/>
        </w:rPr>
        <w:t>日下午1</w:t>
      </w:r>
      <w:r>
        <w:rPr>
          <w:rFonts w:hint="eastAsia" w:ascii="宋体" w:hAnsi="宋体" w:eastAsia="宋体"/>
          <w:bCs/>
          <w:color w:val="auto"/>
          <w:sz w:val="21"/>
          <w:szCs w:val="21"/>
          <w:highlight w:val="none"/>
          <w:lang w:val="en-US" w:eastAsia="zh-CN"/>
        </w:rPr>
        <w:t>5</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lang w:val="en-US" w:eastAsia="zh-CN"/>
        </w:rPr>
        <w:t>0</w:t>
      </w:r>
      <w:r>
        <w:rPr>
          <w:rFonts w:hint="eastAsia" w:ascii="宋体" w:hAnsi="宋体" w:eastAsia="宋体"/>
          <w:bCs/>
          <w:color w:val="auto"/>
          <w:sz w:val="21"/>
          <w:szCs w:val="21"/>
          <w:highlight w:val="none"/>
        </w:rPr>
        <w:t>0分。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东莞市石排镇政府市民办事中心二楼农村集体资产交易中心</w:t>
      </w:r>
      <w:r>
        <w:rPr>
          <w:rFonts w:hint="eastAsia" w:ascii="宋体" w:hAnsi="宋体" w:eastAsia="宋体"/>
          <w:bCs/>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bCs/>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Cs/>
          <w:color w:val="auto"/>
          <w:sz w:val="21"/>
          <w:szCs w:val="21"/>
          <w:highlight w:val="none"/>
        </w:rPr>
      </w:pPr>
      <w:r>
        <w:rPr>
          <w:rFonts w:hint="eastAsia" w:ascii="宋体" w:hAnsi="宋体" w:eastAsia="宋体"/>
          <w:b/>
          <w:color w:val="auto"/>
          <w:sz w:val="21"/>
          <w:szCs w:val="21"/>
          <w:highlight w:val="none"/>
        </w:rPr>
        <w:t>五、采购人及采购代理机构的名称、地址和联系方法：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rPr>
        <w:t>采购人联系人：陈亮</w:t>
      </w:r>
      <w:r>
        <w:rPr>
          <w:rFonts w:hint="eastAsia" w:ascii="宋体" w:hAnsi="宋体" w:eastAsia="宋体"/>
          <w:bCs/>
          <w:color w:val="auto"/>
          <w:sz w:val="21"/>
          <w:szCs w:val="21"/>
          <w:highlight w:val="none"/>
          <w:lang w:eastAsia="zh-CN"/>
        </w:rPr>
        <w:t>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采购人联系电话：86529338</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地址：东莞市石排镇</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706</w:t>
      </w:r>
      <w:r>
        <w:rPr>
          <w:rFonts w:hint="eastAsia" w:ascii="宋体" w:hAnsi="宋体" w:eastAsia="宋体"/>
          <w:color w:val="auto"/>
          <w:sz w:val="21"/>
          <w:szCs w:val="21"/>
          <w:highlight w:val="none"/>
        </w:rPr>
        <w:t>室。</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eastAsia="zh-CN"/>
        </w:rPr>
        <w:t>陈锦涛</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联系电话：0769-21682660-8</w:t>
      </w:r>
      <w:r>
        <w:rPr>
          <w:rFonts w:hint="eastAsia" w:ascii="宋体" w:hAnsi="宋体" w:eastAsia="宋体"/>
          <w:color w:val="auto"/>
          <w:sz w:val="21"/>
          <w:szCs w:val="21"/>
          <w:highlight w:val="none"/>
          <w:lang w:val="en-US" w:eastAsia="zh-CN"/>
        </w:rPr>
        <w:t>18</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E－ mail：529129667@qq.com</w:t>
      </w:r>
    </w:p>
    <w:p>
      <w:pPr>
        <w:keepNext w:val="0"/>
        <w:keepLines w:val="0"/>
        <w:pageBreakBefore w:val="0"/>
        <w:widowControl/>
        <w:kinsoku/>
        <w:wordWrap/>
        <w:overflowPunct/>
        <w:topLinePunct w:val="0"/>
        <w:autoSpaceDE/>
        <w:autoSpaceDN/>
        <w:bidi w:val="0"/>
        <w:adjustRightInd w:val="0"/>
        <w:snapToGrid w:val="0"/>
        <w:spacing w:after="0" w:line="240" w:lineRule="auto"/>
        <w:ind w:firstLine="440" w:firstLineChars="200"/>
        <w:textAlignment w:val="auto"/>
        <w:rPr>
          <w:rFonts w:eastAsia="宋体"/>
          <w:color w:val="auto"/>
          <w:highlight w:val="none"/>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highlight w:val="none"/>
        </w:rPr>
      </w:pPr>
    </w:p>
    <w:p>
      <w:pPr>
        <w:keepNext w:val="0"/>
        <w:keepLines w:val="0"/>
        <w:pageBreakBefore w:val="0"/>
        <w:widowControl/>
        <w:kinsoku/>
        <w:wordWrap/>
        <w:overflowPunct/>
        <w:topLinePunct w:val="0"/>
        <w:autoSpaceDE/>
        <w:autoSpaceDN/>
        <w:bidi w:val="0"/>
        <w:adjustRightInd w:val="0"/>
        <w:snapToGrid w:val="0"/>
        <w:spacing w:line="240" w:lineRule="auto"/>
        <w:ind w:right="788" w:rightChars="358"/>
        <w:jc w:val="right"/>
        <w:textAlignment w:val="auto"/>
        <w:rPr>
          <w:color w:val="auto"/>
          <w:highlight w:val="none"/>
        </w:rPr>
      </w:pPr>
    </w:p>
    <w:p>
      <w:pPr>
        <w:keepNext w:val="0"/>
        <w:keepLines w:val="0"/>
        <w:pageBreakBefore w:val="0"/>
        <w:widowControl/>
        <w:kinsoku/>
        <w:wordWrap/>
        <w:overflowPunct/>
        <w:topLinePunct w:val="0"/>
        <w:autoSpaceDE/>
        <w:autoSpaceDN/>
        <w:bidi w:val="0"/>
        <w:adjustRightInd w:val="0"/>
        <w:snapToGrid w:val="0"/>
        <w:spacing w:line="240" w:lineRule="auto"/>
        <w:ind w:right="788" w:rightChars="358"/>
        <w:jc w:val="right"/>
        <w:textAlignment w:val="auto"/>
        <w:rPr>
          <w:color w:val="auto"/>
          <w:highlight w:val="none"/>
        </w:rPr>
      </w:pPr>
    </w:p>
    <w:p>
      <w:pPr>
        <w:keepNext w:val="0"/>
        <w:keepLines w:val="0"/>
        <w:pageBreakBefore w:val="0"/>
        <w:widowControl/>
        <w:kinsoku/>
        <w:wordWrap/>
        <w:overflowPunct/>
        <w:topLinePunct w:val="0"/>
        <w:autoSpaceDE/>
        <w:autoSpaceDN/>
        <w:bidi w:val="0"/>
        <w:adjustRightInd w:val="0"/>
        <w:snapToGrid w:val="0"/>
        <w:spacing w:line="240" w:lineRule="auto"/>
        <w:ind w:right="788" w:rightChars="358"/>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三方诚信招标有限公司</w:t>
      </w:r>
      <w:r>
        <w:rPr>
          <w:rFonts w:hint="eastAsia" w:ascii="宋体" w:hAnsi="宋体" w:eastAsia="宋体" w:cs="宋体"/>
          <w:color w:val="auto"/>
          <w:sz w:val="21"/>
          <w:szCs w:val="21"/>
          <w:highlight w:val="none"/>
        </w:rPr>
        <w:t>东莞分公司</w:t>
      </w:r>
    </w:p>
    <w:p>
      <w:pPr>
        <w:keepNext w:val="0"/>
        <w:keepLines w:val="0"/>
        <w:pageBreakBefore w:val="0"/>
        <w:widowControl/>
        <w:kinsoku/>
        <w:wordWrap/>
        <w:overflowPunct/>
        <w:topLinePunct w:val="0"/>
        <w:autoSpaceDE/>
        <w:autoSpaceDN/>
        <w:bidi w:val="0"/>
        <w:adjustRightInd w:val="0"/>
        <w:snapToGrid w:val="0"/>
        <w:spacing w:line="240" w:lineRule="auto"/>
        <w:ind w:left="6479" w:leftChars="2945" w:firstLine="0" w:firstLine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3"/>
        <w:spacing w:before="0" w:after="0" w:line="240" w:lineRule="auto"/>
        <w:rPr>
          <w:color w:val="auto"/>
          <w:sz w:val="28"/>
          <w:szCs w:val="28"/>
          <w:highlight w:val="none"/>
        </w:rPr>
      </w:pPr>
      <w:bookmarkStart w:id="1" w:name="_Toc1854"/>
      <w:r>
        <w:rPr>
          <w:rFonts w:hint="eastAsia"/>
          <w:color w:val="auto"/>
          <w:sz w:val="28"/>
          <w:szCs w:val="28"/>
          <w:highlight w:val="none"/>
        </w:rPr>
        <w:t>第二部分 相关资料表格</w:t>
      </w:r>
      <w:bookmarkEnd w:id="1"/>
    </w:p>
    <w:p>
      <w:pPr>
        <w:pStyle w:val="4"/>
        <w:spacing w:before="0" w:after="0" w:line="240" w:lineRule="auto"/>
        <w:jc w:val="center"/>
        <w:rPr>
          <w:rFonts w:ascii="宋体" w:hAnsi="宋体" w:eastAsia="宋体" w:cs="宋体"/>
          <w:color w:val="auto"/>
          <w:sz w:val="24"/>
          <w:szCs w:val="24"/>
          <w:highlight w:val="none"/>
        </w:rPr>
      </w:pPr>
      <w:bookmarkStart w:id="2" w:name="_Toc1210"/>
      <w:r>
        <w:rPr>
          <w:rFonts w:hint="eastAsia" w:ascii="宋体" w:hAnsi="宋体" w:eastAsia="宋体" w:cs="宋体"/>
          <w:color w:val="auto"/>
          <w:sz w:val="24"/>
          <w:szCs w:val="24"/>
          <w:highlight w:val="none"/>
        </w:rPr>
        <w:t>附表一：投标资料表</w:t>
      </w:r>
      <w:bookmarkEnd w:id="2"/>
    </w:p>
    <w:tbl>
      <w:tblPr>
        <w:tblStyle w:val="17"/>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3766"/>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w:t>
            </w:r>
            <w:r>
              <w:rPr>
                <w:rFonts w:ascii="宋体" w:hAnsi="宋体" w:eastAsia="宋体"/>
                <w:b/>
                <w:color w:val="auto"/>
                <w:sz w:val="21"/>
                <w:szCs w:val="21"/>
                <w:highlight w:val="none"/>
              </w:rPr>
              <w:t xml:space="preserve">      </w:t>
            </w:r>
            <w:r>
              <w:rPr>
                <w:rFonts w:hint="eastAsia" w:ascii="宋体" w:hAnsi="宋体" w:eastAsia="宋体"/>
                <w:b/>
                <w:color w:val="auto"/>
                <w:sz w:val="21"/>
                <w:szCs w:val="21"/>
                <w:highlight w:val="none"/>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3"/>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3"/>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lang w:eastAsia="zh-CN"/>
              </w:rPr>
              <w:t>自有</w:t>
            </w:r>
            <w:r>
              <w:rPr>
                <w:rFonts w:hint="eastAsia" w:ascii="宋体" w:hAnsi="宋体" w:eastAsia="宋体"/>
                <w:color w:val="auto"/>
                <w:sz w:val="21"/>
                <w:szCs w:val="21"/>
                <w:highlight w:val="none"/>
              </w:rPr>
              <w:t>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7532" w:type="dxa"/>
            <w:gridSpan w:val="3"/>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三方诚信招标网</w:t>
            </w:r>
          </w:p>
        </w:tc>
        <w:tc>
          <w:tcPr>
            <w:tcW w:w="3766"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val="0"/>
                <w:bCs/>
                <w:color w:val="auto"/>
                <w:sz w:val="21"/>
                <w:szCs w:val="21"/>
                <w:highlight w:val="none"/>
              </w:rPr>
              <w:t>http://www.sfcx.cn/</w:t>
            </w:r>
          </w:p>
        </w:tc>
        <w:tc>
          <w:tcPr>
            <w:tcW w:w="3766"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3"/>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lang w:eastAsia="zh-CN"/>
              </w:rPr>
              <w:t>肆仟</w:t>
            </w:r>
            <w:r>
              <w:rPr>
                <w:rFonts w:hint="eastAsia" w:ascii="宋体" w:hAnsi="宋体" w:eastAsia="宋体"/>
                <w:color w:val="auto"/>
                <w:sz w:val="21"/>
                <w:szCs w:val="21"/>
                <w:highlight w:val="none"/>
              </w:rPr>
              <w:t>元整（￥</w:t>
            </w:r>
            <w:r>
              <w:rPr>
                <w:rFonts w:hint="eastAsia" w:ascii="宋体" w:hAnsi="宋体" w:eastAsia="宋体"/>
                <w:b/>
                <w:color w:val="auto"/>
                <w:sz w:val="21"/>
                <w:szCs w:val="21"/>
                <w:highlight w:val="none"/>
                <w:lang w:val="en-US" w:eastAsia="zh-CN"/>
              </w:rPr>
              <w:t>4,000.00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投标保证金须严格按招标文件“第四部分投标人须知”要求提交。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收款人：三方诚信招标有限公司东莞分公司</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开户行：广发银行股份有限公司东莞南城支行</w:t>
            </w:r>
          </w:p>
          <w:p>
            <w:pPr>
              <w:spacing w:after="0"/>
              <w:jc w:val="both"/>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zh-CN"/>
              </w:rPr>
              <w:t>帐  号：6232590699050020377</w:t>
            </w:r>
          </w:p>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3"/>
            <w:vAlign w:val="center"/>
          </w:tcPr>
          <w:p>
            <w:pPr>
              <w:spacing w:after="0"/>
              <w:jc w:val="both"/>
              <w:rPr>
                <w:rFonts w:hint="eastAsia"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eastAsia="zh-CN"/>
              </w:rPr>
              <w:t>投标</w:t>
            </w:r>
            <w:r>
              <w:rPr>
                <w:rFonts w:hint="eastAsia" w:ascii="宋体" w:hAnsi="宋体" w:eastAsia="宋体"/>
                <w:b/>
                <w:bCs/>
                <w:color w:val="auto"/>
                <w:sz w:val="21"/>
                <w:szCs w:val="21"/>
                <w:highlight w:val="none"/>
                <w:lang w:val="zh-CN"/>
              </w:rPr>
              <w:t>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val="zh-CN"/>
              </w:rPr>
              <w:t>）未中标的投标人的保证金应当在中标通知书发出后5个工作日内退还，中标投标人的保证金应当在采购合同签订后5个工作日内退还。</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hint="eastAsia" w:eastAsia="宋体"/>
                <w:color w:val="auto"/>
                <w:highlight w:val="none"/>
                <w:lang w:val="en-US" w:eastAsia="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lang w:val="en-US" w:eastAsia="zh-CN"/>
              </w:rPr>
              <w:t>0769-21862660-801。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7532"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开标文件</w:t>
            </w:r>
          </w:p>
        </w:tc>
        <w:tc>
          <w:tcPr>
            <w:tcW w:w="4924"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2"/>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13</w:t>
            </w: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14</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w:t>
            </w:r>
            <w:r>
              <w:rPr>
                <w:rFonts w:hint="eastAsia" w:ascii="宋体" w:hAnsi="宋体" w:eastAsia="宋体"/>
                <w:color w:val="auto"/>
                <w:sz w:val="21"/>
                <w:szCs w:val="21"/>
                <w:highlight w:val="none"/>
                <w:lang w:eastAsia="zh-CN"/>
              </w:rPr>
              <w:t>二</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15（仅适用于政府采购项目）</w:t>
            </w: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每项节能或环境标志产品折扣3%。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16</w:t>
            </w:r>
          </w:p>
        </w:tc>
        <w:tc>
          <w:tcPr>
            <w:tcW w:w="7532" w:type="dxa"/>
            <w:gridSpan w:val="3"/>
            <w:shd w:val="clear" w:color="auto" w:fill="auto"/>
            <w:vAlign w:val="center"/>
          </w:tcPr>
          <w:p>
            <w:pPr>
              <w:spacing w:after="0"/>
              <w:jc w:val="both"/>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履约保证金</w:t>
            </w:r>
            <w:r>
              <w:rPr>
                <w:rFonts w:hint="eastAsia" w:ascii="宋体" w:hAnsi="宋体" w:eastAsia="宋体"/>
                <w:b/>
                <w:color w:val="auto"/>
                <w:sz w:val="21"/>
                <w:szCs w:val="21"/>
                <w:highlight w:val="none"/>
                <w:lang w:eastAsia="zh-CN"/>
              </w:rPr>
              <w:t>（如有需要）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17</w:t>
            </w:r>
          </w:p>
        </w:tc>
        <w:tc>
          <w:tcPr>
            <w:tcW w:w="7532" w:type="dxa"/>
            <w:gridSpan w:val="3"/>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widowControl w:val="0"/>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w:t>
            </w:r>
            <w:r>
              <w:rPr>
                <w:rFonts w:hint="eastAsia" w:ascii="宋体" w:hAnsi="宋体" w:eastAsia="宋体"/>
                <w:color w:val="auto"/>
                <w:sz w:val="21"/>
                <w:szCs w:val="21"/>
                <w:highlight w:val="none"/>
                <w:lang w:eastAsia="zh-CN"/>
              </w:rPr>
              <w:t>向中标单位</w:t>
            </w:r>
            <w:r>
              <w:rPr>
                <w:rFonts w:hint="eastAsia" w:ascii="宋体" w:hAnsi="宋体" w:eastAsia="宋体"/>
                <w:color w:val="auto"/>
                <w:sz w:val="21"/>
                <w:szCs w:val="21"/>
                <w:highlight w:val="none"/>
              </w:rPr>
              <w:t>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3"/>
            <w:vAlign w:val="center"/>
          </w:tcPr>
          <w:p>
            <w:pPr>
              <w:widowControl w:val="0"/>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收 款 人：三方诚信招标有限公司东莞分公司</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开户银行：中国工商银行东莞市分行</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4"/>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4"/>
        <w:spacing w:before="0" w:after="0" w:line="240" w:lineRule="auto"/>
        <w:jc w:val="center"/>
        <w:rPr>
          <w:rFonts w:ascii="宋体" w:hAnsi="宋体" w:eastAsia="宋体" w:cs="宋体"/>
          <w:color w:val="auto"/>
          <w:sz w:val="24"/>
          <w:szCs w:val="24"/>
          <w:highlight w:val="none"/>
        </w:rPr>
      </w:pPr>
      <w:bookmarkStart w:id="3" w:name="_Toc11083"/>
      <w:r>
        <w:rPr>
          <w:rFonts w:hint="eastAsia" w:ascii="宋体" w:hAnsi="宋体" w:eastAsia="宋体" w:cs="宋体"/>
          <w:color w:val="auto"/>
          <w:sz w:val="24"/>
          <w:szCs w:val="24"/>
          <w:highlight w:val="none"/>
        </w:rPr>
        <w:t>附表二：商务技术评分及价格权重表</w:t>
      </w:r>
      <w:bookmarkEnd w:id="3"/>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20分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企业实力</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5463"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具有国家认证认可的监督管理部门批准设立的认证机构颁发的质量管理体系认证证书、环境管理体系认证证书、职业健康安全管理体系认证证书，每个得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spacing w:before="48" w:beforeLines="20" w:after="48" w:afterLines="2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具有安全生产许可证的得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spacing w:before="48" w:beforeLines="20" w:after="48" w:afterLines="2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（须提供上述相关证书，具有有效期限的证书必须在有效期内，复印件加盖</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相关业绩</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投标人自2017年以来（以合同签订时间为准）</w:t>
            </w:r>
            <w:r>
              <w:rPr>
                <w:rFonts w:hint="eastAsia" w:ascii="宋体" w:hAnsi="宋体" w:eastAsia="宋体" w:cs="宋体"/>
                <w:bCs/>
                <w:color w:val="auto"/>
                <w:sz w:val="21"/>
                <w:szCs w:val="21"/>
                <w:highlight w:val="none"/>
                <w:lang w:eastAsia="zh-CN"/>
              </w:rPr>
              <w:t>具有</w:t>
            </w:r>
            <w:r>
              <w:rPr>
                <w:rFonts w:hint="eastAsia" w:ascii="宋体" w:hAnsi="宋体" w:eastAsia="宋体" w:cs="宋体"/>
                <w:bCs/>
                <w:color w:val="auto"/>
                <w:sz w:val="21"/>
                <w:szCs w:val="21"/>
                <w:highlight w:val="none"/>
              </w:rPr>
              <w:t>的配电设备类业绩，每提供一个合同业绩得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分，无不得分，本项最高得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spacing w:before="48" w:beforeLines="20" w:after="48" w:afterLines="20"/>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注：须提供有效业绩合同复印件加盖</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售后服务</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根据投标人提供的服务响应时间承诺进行评分。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小时内到现场，得1分；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投标人承诺在接到采购人通知后超过</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小时到现场，不得分。</w:t>
            </w:r>
          </w:p>
          <w:p>
            <w:pPr>
              <w:pStyle w:val="27"/>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eastAsia="宋体" w:cs="宋体"/>
                <w:color w:val="auto"/>
                <w:sz w:val="21"/>
                <w:szCs w:val="21"/>
                <w:highlight w:val="none"/>
                <w:lang w:val="zh-CN"/>
              </w:rPr>
            </w:pPr>
            <w:r>
              <w:rPr>
                <w:rFonts w:hint="eastAsia" w:ascii="宋体" w:eastAsia="宋体" w:cs="宋体"/>
                <w:bCs/>
                <w:color w:val="auto"/>
                <w:sz w:val="21"/>
                <w:szCs w:val="21"/>
                <w:highlight w:val="none"/>
              </w:rPr>
              <w:t>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50分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leftChars="0" w:right="0" w:rightChars="0"/>
              <w:jc w:val="center"/>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总体施工方案</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leftChars="0" w:right="0" w:rightChars="0"/>
              <w:jc w:val="center"/>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根据投标人所提供施工方案的详细性、合理性、针对性等进行综合评审：</w:t>
            </w:r>
          </w:p>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施工方案详细完整合理，方案针对性高，切合本项目需求，得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w:t>
            </w:r>
          </w:p>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施工方案存在缺漏，方案针对性和合理性一般，基本满足本项目需求，得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p>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施工方案缺漏较多，方案针对性和合理性较差，得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未提供对应方案不得分</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进度保障计划方案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制定的进度保障计划方案进行评分：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方案详尽完整、科学合理、有利于项目实施的得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具备合理可行的进度保障计划方案的得4分；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方案缺乏合理性或可行性的得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安全文明施工制度及保障措施</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制定的安全文明施工制度及保障措施进行评分：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保障措施详尽完整、科学合理，制度严谨规范、能高效地保障项目实施的得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保障措施完整、合理性较高，制度较规范、有利于保障项目实施的得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保障措施及制度缺乏可行性及完整性的得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项目质量控制和检验方法</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制定的项目质量控制和检验方法进行评分：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质量控制严谨、检验方法科学合理、能高效地保障项目实施的得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具备规范可操作的质量控制和可行的检验方法、能</w:t>
            </w:r>
            <w:r>
              <w:rPr>
                <w:rFonts w:hint="eastAsia" w:ascii="宋体" w:hAnsi="宋体" w:eastAsia="宋体" w:cs="宋体"/>
                <w:bCs/>
                <w:color w:val="auto"/>
                <w:sz w:val="21"/>
                <w:szCs w:val="21"/>
                <w:highlight w:val="none"/>
                <w:lang w:eastAsia="zh-CN"/>
              </w:rPr>
              <w:t>较好</w:t>
            </w:r>
            <w:r>
              <w:rPr>
                <w:rFonts w:hint="eastAsia" w:ascii="宋体" w:hAnsi="宋体" w:eastAsia="宋体" w:cs="宋体"/>
                <w:bCs/>
                <w:color w:val="auto"/>
                <w:sz w:val="21"/>
                <w:szCs w:val="21"/>
                <w:highlight w:val="none"/>
              </w:rPr>
              <w:t>保障项目实施的得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质量控制和检验方法缺乏可行性或合理性的得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restart"/>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vMerge w:val="restart"/>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技术力量</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拟派本项目的项目负责人（仅指一人）：</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项目负责人具有注册建造师证书的得3分。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（须提供上述人员的相关证书及</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为其缴纳最近12个月内任意1个月[不含开标当月]的社保证明，复印件加盖</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p>
        </w:tc>
        <w:tc>
          <w:tcPr>
            <w:tcW w:w="1607" w:type="dxa"/>
            <w:vMerge w:val="continue"/>
            <w:tcBorders>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拟派本项目的其他人员（项目负责人除外）：</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①具有电气（力）类或机电工程类工程师证书的，中级或以上的每个得2分，最高得4分，其他不得分。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②具有安全生产考核合格证书（证书信息须为安全生产专职人员或以上，即“建安C”类或以上）的得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（须提供上述人员的相关证书及</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为其缴纳最近12个月内任意1个月[不含开标当月]的社保证明，复印件加盖</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应急预案及服务承诺</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针对本项目制定的应急预案及服务承诺方案进行评分：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应急预案及应对措施科学合理，服务承诺方案详尽完整、可行性高的得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具备应急预案及应对措施，服务承诺方案完整的得4分；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应急方案措施完整性或可行性差的得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w:t>
            </w:r>
            <w:r>
              <w:rPr>
                <w:rFonts w:hint="eastAsia" w:ascii="宋体" w:hAnsi="宋体" w:eastAsia="宋体"/>
                <w:b/>
                <w:color w:val="auto"/>
                <w:sz w:val="21"/>
                <w:szCs w:val="21"/>
                <w:highlight w:val="none"/>
                <w:lang w:eastAsia="zh-CN"/>
              </w:rPr>
              <w:t>投标材料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widowControl w:val="0"/>
              <w:tabs>
                <w:tab w:val="left" w:pos="907"/>
              </w:tabs>
              <w:adjustRightInd/>
              <w:snapToGrid/>
              <w:spacing w:after="0" w:line="360" w:lineRule="exact"/>
              <w:ind w:firstLine="422" w:firstLineChars="200"/>
              <w:jc w:val="both"/>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价格评审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30分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投标报价得分=(评标基准价／投标报价)×价格权值</w:t>
            </w:r>
          </w:p>
        </w:tc>
      </w:tr>
    </w:tbl>
    <w:p>
      <w:pPr>
        <w:pStyle w:val="3"/>
        <w:spacing w:before="0" w:after="0" w:line="240" w:lineRule="auto"/>
        <w:rPr>
          <w:color w:val="auto"/>
          <w:sz w:val="28"/>
          <w:szCs w:val="28"/>
          <w:highlight w:val="none"/>
        </w:rPr>
      </w:pPr>
      <w:r>
        <w:rPr>
          <w:rFonts w:hint="eastAsia"/>
          <w:color w:val="auto"/>
          <w:sz w:val="28"/>
          <w:szCs w:val="28"/>
          <w:highlight w:val="none"/>
        </w:rPr>
        <w:br w:type="page"/>
      </w:r>
    </w:p>
    <w:p>
      <w:pPr>
        <w:pStyle w:val="3"/>
        <w:spacing w:before="0" w:after="0" w:line="240" w:lineRule="auto"/>
        <w:rPr>
          <w:color w:val="auto"/>
          <w:sz w:val="36"/>
          <w:szCs w:val="36"/>
          <w:highlight w:val="none"/>
        </w:rPr>
      </w:pPr>
      <w:bookmarkStart w:id="4" w:name="_Toc23932"/>
      <w:r>
        <w:rPr>
          <w:rFonts w:hint="eastAsia"/>
          <w:color w:val="auto"/>
          <w:sz w:val="28"/>
          <w:szCs w:val="28"/>
          <w:highlight w:val="none"/>
        </w:rPr>
        <w:t>第三部分 用户需求书</w:t>
      </w:r>
      <w:bookmarkEnd w:id="4"/>
    </w:p>
    <w:p>
      <w:pPr>
        <w:pStyle w:val="4"/>
        <w:spacing w:before="0" w:after="0" w:line="240" w:lineRule="auto"/>
        <w:jc w:val="center"/>
        <w:rPr>
          <w:rFonts w:hint="eastAsia" w:ascii="宋体" w:hAnsi="宋体" w:eastAsia="宋体" w:cs="宋体"/>
          <w:b/>
          <w:color w:val="auto"/>
          <w:sz w:val="22"/>
          <w:highlight w:val="none"/>
        </w:rPr>
      </w:pPr>
      <w:bookmarkStart w:id="5" w:name="_Toc3182"/>
      <w:r>
        <w:rPr>
          <w:rFonts w:hint="eastAsia" w:ascii="宋体" w:hAnsi="宋体" w:eastAsia="宋体" w:cs="宋体"/>
          <w:color w:val="auto"/>
          <w:sz w:val="24"/>
          <w:szCs w:val="24"/>
          <w:highlight w:val="none"/>
        </w:rPr>
        <w:t>用户需求明细</w:t>
      </w:r>
      <w:bookmarkEnd w:id="5"/>
      <w:bookmarkStart w:id="6" w:name="_Toc14462"/>
      <w:bookmarkStart w:id="7" w:name="_Toc13112"/>
      <w:bookmarkStart w:id="8" w:name="_Toc31278"/>
      <w:bookmarkStart w:id="9" w:name="_Toc24679"/>
    </w:p>
    <w:p>
      <w:pPr>
        <w:pStyle w:val="44"/>
        <w:keepNext w:val="0"/>
        <w:spacing w:before="120" w:beforeLines="50" w:after="120" w:afterLines="50" w:line="24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一、项目清单</w:t>
      </w:r>
    </w:p>
    <w:tbl>
      <w:tblPr>
        <w:tblStyle w:val="17"/>
        <w:tblW w:w="4998" w:type="pct"/>
        <w:tblInd w:w="0" w:type="dxa"/>
        <w:shd w:val="clear" w:color="auto" w:fill="auto"/>
        <w:tblLayout w:type="autofit"/>
        <w:tblCellMar>
          <w:top w:w="0" w:type="dxa"/>
          <w:left w:w="0" w:type="dxa"/>
          <w:bottom w:w="0" w:type="dxa"/>
          <w:right w:w="0" w:type="dxa"/>
        </w:tblCellMar>
      </w:tblPr>
      <w:tblGrid>
        <w:gridCol w:w="737"/>
        <w:gridCol w:w="2979"/>
        <w:gridCol w:w="2769"/>
        <w:gridCol w:w="847"/>
        <w:gridCol w:w="1001"/>
      </w:tblGrid>
      <w:tr>
        <w:tblPrEx>
          <w:shd w:val="clear" w:color="auto" w:fill="auto"/>
          <w:tblCellMar>
            <w:top w:w="0" w:type="dxa"/>
            <w:left w:w="0" w:type="dxa"/>
            <w:bottom w:w="0" w:type="dxa"/>
            <w:right w:w="0" w:type="dxa"/>
          </w:tblCellMar>
        </w:tblPrEx>
        <w:trPr>
          <w:trHeight w:val="570" w:hRule="atLeast"/>
        </w:trPr>
        <w:tc>
          <w:tcPr>
            <w:tcW w:w="442" w:type="pc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787" w:type="pc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名称</w:t>
            </w:r>
          </w:p>
        </w:tc>
        <w:tc>
          <w:tcPr>
            <w:tcW w:w="1661" w:type="pc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规格</w:t>
            </w:r>
          </w:p>
        </w:tc>
        <w:tc>
          <w:tcPr>
            <w:tcW w:w="508" w:type="pc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单位</w:t>
            </w:r>
          </w:p>
        </w:tc>
        <w:tc>
          <w:tcPr>
            <w:tcW w:w="600" w:type="pc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数量</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预装式变电站</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800kVA</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10KVA高压进线柜 G01</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XGN15-12F</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564"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10KVA高压环出线柜 G02</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XGN15-12F</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0.4KV铜芯双塑线</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25mm</w:t>
            </w:r>
            <w:r>
              <w:rPr>
                <w:rFonts w:hint="eastAsia" w:ascii="宋体" w:hAnsi="宋体" w:eastAsia="宋体" w:cs="宋体"/>
                <w:i w:val="0"/>
                <w:color w:val="auto"/>
                <w:kern w:val="0"/>
                <w:sz w:val="21"/>
                <w:szCs w:val="21"/>
                <w:highlight w:val="none"/>
                <w:u w:val="none"/>
                <w:vertAlign w:val="superscript"/>
                <w:lang w:val="en-US" w:eastAsia="zh-CN" w:bidi="ar"/>
              </w:rPr>
              <w:t>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10KV高压电缆</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YJV22-3*70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户内电缆终端头</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3*70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10KV架空绝缘钢芯铝绞线</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JKLGYJ-95/15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40.00</w:t>
            </w:r>
          </w:p>
        </w:tc>
      </w:tr>
      <w:tr>
        <w:tblPrEx>
          <w:tblCellMar>
            <w:top w:w="0" w:type="dxa"/>
            <w:left w:w="0" w:type="dxa"/>
            <w:bottom w:w="0" w:type="dxa"/>
            <w:right w:w="0" w:type="dxa"/>
          </w:tblCellMar>
        </w:tblPrEx>
        <w:trPr>
          <w:trHeight w:val="588"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10KV户外防爆自动脱离型高压避雷器</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YH5W--17/50SPE</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10KV高压隔离开关</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HGW9--10G/630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铁支架及铁构件</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100kg</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0.30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电缆保护管</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φ114*3000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陶担</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S-210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铜铝线夹</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JYL-600A</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力矩节能线夹</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避雷器横担</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60*6*1600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接地引铁</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φ16*6000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铁塔电缆支架</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塔型刀闸担</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镀锌元铁</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φ16*6000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灭火器</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高压电缆标柱</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0.12*0.12*1m</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绝缘棒</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23</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验电笔</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绝缘鞋</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对</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绝缘手套</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对</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安全标牌</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27</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绝缘工具箱</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角铁地极</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L5*50*2500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29</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户外电缆支架绝缘护套</w:t>
            </w:r>
          </w:p>
        </w:tc>
        <w:tc>
          <w:tcPr>
            <w:tcW w:w="1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left"/>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台班费</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720"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31</w:t>
            </w:r>
          </w:p>
        </w:tc>
        <w:tc>
          <w:tcPr>
            <w:tcW w:w="1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组合型成套箱式变电站系统调试 10kV以下变压器(容量kV·A以下)1000</w:t>
            </w:r>
          </w:p>
        </w:tc>
        <w:tc>
          <w:tcPr>
            <w:tcW w:w="16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座</w:t>
            </w:r>
          </w:p>
        </w:tc>
        <w:tc>
          <w:tcPr>
            <w:tcW w:w="60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612"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32</w:t>
            </w:r>
          </w:p>
        </w:tc>
        <w:tc>
          <w:tcPr>
            <w:tcW w:w="178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送配电装置系统调试 1kV以下交流供电 (综合）</w:t>
            </w:r>
          </w:p>
        </w:tc>
        <w:tc>
          <w:tcPr>
            <w:tcW w:w="16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系统</w:t>
            </w:r>
          </w:p>
        </w:tc>
        <w:tc>
          <w:tcPr>
            <w:tcW w:w="60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576" w:hRule="atLeast"/>
        </w:trPr>
        <w:tc>
          <w:tcPr>
            <w:tcW w:w="442"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33</w:t>
            </w:r>
          </w:p>
        </w:tc>
        <w:tc>
          <w:tcPr>
            <w:tcW w:w="1787" w:type="pct"/>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送配电装置系统调试 10kV以下交流供电 (综合）</w:t>
            </w:r>
          </w:p>
        </w:tc>
        <w:tc>
          <w:tcPr>
            <w:tcW w:w="166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系统</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auto"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34</w:t>
            </w:r>
          </w:p>
        </w:tc>
        <w:tc>
          <w:tcPr>
            <w:tcW w:w="17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电容器调试 (1kV以下)</w:t>
            </w:r>
          </w:p>
        </w:tc>
        <w:tc>
          <w:tcPr>
            <w:tcW w:w="16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auto"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35</w:t>
            </w:r>
          </w:p>
        </w:tc>
        <w:tc>
          <w:tcPr>
            <w:tcW w:w="17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调试 接地网</w:t>
            </w:r>
          </w:p>
        </w:tc>
        <w:tc>
          <w:tcPr>
            <w:tcW w:w="16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系统</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tblCellMar>
            <w:top w:w="0" w:type="dxa"/>
            <w:left w:w="0" w:type="dxa"/>
            <w:bottom w:w="0" w:type="dxa"/>
            <w:right w:w="0" w:type="dxa"/>
          </w:tblCellMar>
        </w:tblPrEx>
        <w:trPr>
          <w:trHeight w:val="399" w:hRule="atLeast"/>
        </w:trPr>
        <w:tc>
          <w:tcPr>
            <w:tcW w:w="442" w:type="pct"/>
            <w:tcBorders>
              <w:top w:val="single" w:color="000000" w:sz="4" w:space="0"/>
              <w:left w:val="single" w:color="000000" w:sz="8" w:space="0"/>
              <w:bottom w:val="single" w:color="000000" w:sz="4" w:space="0"/>
              <w:right w:val="single" w:color="auto"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w:t>
            </w:r>
          </w:p>
        </w:tc>
        <w:tc>
          <w:tcPr>
            <w:tcW w:w="17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10kV电缆交流耐试验</w:t>
            </w:r>
          </w:p>
        </w:tc>
        <w:tc>
          <w:tcPr>
            <w:tcW w:w="16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color w:val="auto"/>
                <w:sz w:val="21"/>
                <w:szCs w:val="21"/>
                <w:highlight w:val="none"/>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回路</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bl>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注：1、以实际安装数量为准。</w:t>
      </w:r>
    </w:p>
    <w:p>
      <w:pPr>
        <w:outlineLvl w:val="0"/>
        <w:rPr>
          <w:rFonts w:hint="eastAsia" w:ascii="宋体" w:hAnsi="宋体" w:eastAsia="宋体" w:cs="宋体"/>
          <w:b/>
          <w:color w:val="auto"/>
          <w:sz w:val="24"/>
          <w:szCs w:val="24"/>
          <w:highlight w:val="none"/>
          <w:lang w:eastAsia="zh-CN"/>
        </w:rPr>
      </w:pPr>
      <w:bookmarkStart w:id="220" w:name="_GoBack"/>
      <w:bookmarkEnd w:id="220"/>
      <w:bookmarkStart w:id="10" w:name="_Toc98175182"/>
      <w:bookmarkStart w:id="11" w:name="_Toc98647883"/>
      <w:bookmarkStart w:id="12" w:name="_Toc166555550"/>
    </w:p>
    <w:p>
      <w:pP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w:t>
      </w:r>
      <w:bookmarkEnd w:id="10"/>
      <w:bookmarkEnd w:id="11"/>
      <w:bookmarkEnd w:id="12"/>
      <w:r>
        <w:rPr>
          <w:rFonts w:hint="eastAsia" w:ascii="宋体" w:hAnsi="宋体" w:eastAsia="宋体" w:cs="宋体"/>
          <w:b/>
          <w:color w:val="auto"/>
          <w:sz w:val="24"/>
          <w:szCs w:val="24"/>
          <w:highlight w:val="none"/>
        </w:rPr>
        <w:t>供货要求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1、所需工具设施物料由中标人自备、自费运到现场，完工后自费搬走。</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★2、签订合同后，</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天内完成（包括供货、施工、安装、调试、验收工作）。</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3、调试：按国家相关验收规范进行，分阶段进行调试。</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的实施工作全部由中标人负责，但必须在招标人的指定人员的参与下进行。投标文件中须给出的具体供货和验收方法，在实际实施前必须先经招标人同意方可进行。调试的原始记录须经各方签字后作为验收的文件之一。</w:t>
      </w:r>
    </w:p>
    <w:p>
      <w:pPr>
        <w:outlineLvl w:val="0"/>
        <w:rPr>
          <w:rFonts w:ascii="黑体" w:hAnsi="黑体" w:eastAsia="黑体" w:cs="Arial"/>
          <w:b/>
          <w:color w:val="auto"/>
          <w:sz w:val="28"/>
          <w:szCs w:val="28"/>
          <w:highlight w:val="none"/>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三、质保要求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★1、质保期为壹年。供货并安装完毕，并经招标人验收合格之日起进入质保期。</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保期内由中标人负责对设备进行维护保养，排除故障，无偿提供非操作不当及非外部原因造成的部件、配件的更换。质保期内，所有维修服务均为上门服务，由此产生的费用均不再收取（质保期内，由中标人免费提供必要的备品备件及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故障保修响应时间为：2小时内响应到用户现场。如果故障在检修8小时后仍无法排除，投标人应在24小时内提供不低于故障产品规格型号档次的备用产品供用户使用，直至故障产品修复。对于重大紧急故障，中标人技术人员在2小时内到达最终用户现场免费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内，中标人须每月派人上门按照国家现行的有关维修保养规范进行系统、全面的维修和保养，检查各系统的各功能和情况是否正常使用，发现问题及时处理，每次检测均要书面记录，并经双方签字认可，留作存档备查。</w:t>
      </w:r>
    </w:p>
    <w:p>
      <w:pPr>
        <w:tabs>
          <w:tab w:val="left" w:pos="0"/>
        </w:tabs>
        <w:ind w:firstLine="440" w:firstLineChars="200"/>
        <w:rPr>
          <w:rFonts w:ascii="宋体" w:hAnsi="宋体"/>
          <w:color w:val="auto"/>
          <w:szCs w:val="21"/>
          <w:highlight w:val="none"/>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四、采购人配合事项</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1、踏勘现场：本项目不组织投标人统一对项目现场进行踏勘，有需要的投标人可自行进行踏勘，以便获取编制投标文件和签署合同所需的所有资料。踏勘现场所发生的费用由投标人自己承担。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2、投标人在投标文件中要列明在项目实施过程中要求采购人提供的合理配合条件。</w:t>
      </w:r>
    </w:p>
    <w:p>
      <w:pPr>
        <w:outlineLvl w:val="0"/>
        <w:rPr>
          <w:rFonts w:ascii="黑体" w:hAnsi="黑体" w:eastAsia="黑体" w:cs="Arial"/>
          <w:b/>
          <w:color w:val="auto"/>
          <w:sz w:val="28"/>
          <w:szCs w:val="28"/>
          <w:highlight w:val="none"/>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★五、付款方式</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合同签订后，主要仪器设备送至采购人现场并经清点签收后，支付合同总额的30%；设备安装完毕，经采购方初步验收合格后，支付合同总额30%，经试运行及相关主管部门验收合格后支付合同金额的35%，剩余5%将在质保期满后支付。</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2、货款按约定的方式支付，中标人凭以下有效的文件向采购人提出支付货款的申请：</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①合同；②中标人开具的正式发票；③中标通知书。</w:t>
      </w:r>
    </w:p>
    <w:p>
      <w:pPr>
        <w:pStyle w:val="52"/>
        <w:spacing w:before="120" w:beforeLines="50" w:after="120" w:afterLines="50" w:line="240" w:lineRule="auto"/>
        <w:ind w:firstLine="0" w:firstLineChars="0"/>
        <w:rPr>
          <w:rFonts w:cs="宋体"/>
          <w:b/>
          <w:color w:val="auto"/>
          <w:kern w:val="0"/>
          <w:szCs w:val="21"/>
          <w:highlight w:val="none"/>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六、其它</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投标人应根据采购要求，在投标文件中提供切实可行的实施服务方案。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2、中标单位在供货安装过程中必须采取足够的安全措施，确保施工的安全，并自行负责相关安全责任。</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3、中标单位在安装过程中，如需对场地作局部破损，必须在供货安装实施前取得采购人的书面同意，并承诺负责恢复原状，采购人不另行支付任何费用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4、报价须包含货物购置费、运至采购人指定地点的运输费、装卸费、保管费、售后服务费，以及所有相关税金等。</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5、项目过程中所产生的废弃材料（如废弃土方等）须由中标单位按安装相关规定自行安排处理，采购方将不再另外支付相关费用。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6、项目未尽事宜将在采购合同中另行约定，中标单位需无条件同意采购单位基于为顺利完成本项目所提出的各项合理要求。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7、项目清单为本次采购最低要求，各供应商可以自行优化供货计划，为本项目设计最优投标方案。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需到供电公司完成本工程的报建，施工资质审核，施工方案审核，报停电计划，项目图纸电子化移交，施工前安全技术交底，工作票签发和验收等，在施工过程中完成电力电缆的试验，保证通电且取得验收合格证, 并完成工程的移交工作及拆除材料移交入仓手续，此过程产生的一切费用由承包人承担。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9、在施工过程中完成自动化设备的调试、验收，此过程产生的一切费用由承包人承担。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中标后中标单位须到当地主管部门进行项目施工备案</w:t>
      </w:r>
      <w:r>
        <w:rPr>
          <w:rFonts w:hint="eastAsia" w:ascii="宋体" w:hAnsi="宋体" w:eastAsia="宋体" w:cs="宋体"/>
          <w:color w:val="auto"/>
          <w:sz w:val="21"/>
          <w:szCs w:val="21"/>
          <w:highlight w:val="none"/>
        </w:rPr>
        <w:t>。</w:t>
      </w:r>
    </w:p>
    <w:p>
      <w:pPr>
        <w:spacing w:before="48" w:beforeLines="20" w:after="48" w:afterLines="20"/>
        <w:ind w:firstLine="422" w:firstLineChars="200"/>
        <w:rPr>
          <w:rFonts w:ascii="宋体" w:hAnsi="宋体" w:eastAsia="宋体" w:cs="Times New Roman"/>
          <w:b/>
          <w:bCs/>
          <w:color w:val="auto"/>
          <w:sz w:val="21"/>
          <w:szCs w:val="21"/>
          <w:highlight w:val="none"/>
        </w:rPr>
      </w:pPr>
    </w:p>
    <w:p>
      <w:pPr>
        <w:pStyle w:val="2"/>
        <w:rPr>
          <w:color w:val="auto"/>
          <w:highlight w:val="none"/>
        </w:rPr>
      </w:pPr>
    </w:p>
    <w:p>
      <w:pPr>
        <w:spacing w:after="0" w:line="360" w:lineRule="auto"/>
        <w:ind w:firstLine="422" w:firstLineChars="20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6"/>
      <w:bookmarkEnd w:id="7"/>
      <w:bookmarkEnd w:id="8"/>
      <w:bookmarkEnd w:id="9"/>
    </w:p>
    <w:p>
      <w:pPr>
        <w:pStyle w:val="3"/>
        <w:spacing w:before="0" w:after="0" w:line="240" w:lineRule="auto"/>
        <w:rPr>
          <w:color w:val="auto"/>
          <w:sz w:val="24"/>
          <w:szCs w:val="24"/>
          <w:highlight w:val="none"/>
        </w:rPr>
      </w:pPr>
      <w:r>
        <w:rPr>
          <w:rFonts w:hint="eastAsia"/>
          <w:color w:val="auto"/>
          <w:sz w:val="24"/>
          <w:szCs w:val="24"/>
          <w:highlight w:val="none"/>
        </w:rPr>
        <w:br w:type="page"/>
      </w:r>
      <w:bookmarkStart w:id="13" w:name="_Toc18811"/>
      <w:r>
        <w:rPr>
          <w:rFonts w:hint="eastAsia"/>
          <w:color w:val="auto"/>
          <w:sz w:val="28"/>
          <w:szCs w:val="28"/>
          <w:highlight w:val="none"/>
        </w:rPr>
        <w:t>第四部分 投标人须知</w:t>
      </w:r>
      <w:bookmarkEnd w:id="13"/>
    </w:p>
    <w:p>
      <w:pPr>
        <w:pStyle w:val="4"/>
        <w:numPr>
          <w:ilvl w:val="0"/>
          <w:numId w:val="2"/>
        </w:numPr>
        <w:spacing w:before="0" w:after="0" w:line="480" w:lineRule="auto"/>
        <w:jc w:val="center"/>
        <w:rPr>
          <w:rFonts w:ascii="宋体" w:hAnsi="宋体" w:eastAsia="宋体"/>
          <w:color w:val="auto"/>
          <w:highlight w:val="none"/>
        </w:rPr>
      </w:pPr>
      <w:bookmarkStart w:id="14" w:name="_Toc9559"/>
      <w:r>
        <w:rPr>
          <w:rFonts w:hint="eastAsia" w:ascii="宋体" w:hAnsi="宋体" w:eastAsia="宋体"/>
          <w:color w:val="auto"/>
          <w:highlight w:val="none"/>
        </w:rPr>
        <w:t>说明</w:t>
      </w:r>
      <w:bookmarkEnd w:id="14"/>
    </w:p>
    <w:p>
      <w:pPr>
        <w:pStyle w:val="5"/>
        <w:widowControl w:val="0"/>
        <w:overflowPunct w:val="0"/>
        <w:spacing w:before="0" w:after="0" w:line="240" w:lineRule="auto"/>
        <w:rPr>
          <w:rFonts w:ascii="宋体" w:hAnsi="宋体" w:eastAsia="宋体"/>
          <w:color w:val="auto"/>
          <w:sz w:val="21"/>
          <w:szCs w:val="21"/>
          <w:highlight w:val="none"/>
        </w:rPr>
      </w:pPr>
      <w:bookmarkStart w:id="15" w:name="_Toc18092"/>
      <w:r>
        <w:rPr>
          <w:rFonts w:hint="eastAsia" w:ascii="宋体" w:hAnsi="宋体" w:eastAsia="宋体"/>
          <w:color w:val="auto"/>
          <w:sz w:val="21"/>
          <w:szCs w:val="21"/>
          <w:highlight w:val="none"/>
        </w:rPr>
        <w:t>1.适用范围</w:t>
      </w:r>
      <w:bookmarkEnd w:id="15"/>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6" w:name="_Toc14885"/>
      <w:r>
        <w:rPr>
          <w:rFonts w:hint="eastAsia" w:ascii="宋体" w:hAnsi="宋体" w:eastAsia="宋体"/>
          <w:color w:val="auto"/>
          <w:sz w:val="21"/>
          <w:szCs w:val="21"/>
          <w:highlight w:val="none"/>
        </w:rPr>
        <w:t>2.</w:t>
      </w:r>
      <w:bookmarkStart w:id="17" w:name="_Toc382049092"/>
      <w:bookmarkStart w:id="18" w:name="_Toc298847174"/>
      <w:bookmarkStart w:id="19" w:name="_Toc303084246"/>
      <w:bookmarkStart w:id="20" w:name="_Toc1530"/>
      <w:r>
        <w:rPr>
          <w:rFonts w:hint="eastAsia" w:ascii="宋体" w:hAnsi="宋体" w:eastAsia="宋体"/>
          <w:color w:val="auto"/>
          <w:sz w:val="21"/>
          <w:szCs w:val="21"/>
          <w:highlight w:val="none"/>
        </w:rPr>
        <w:t>定义</w:t>
      </w:r>
      <w:bookmarkEnd w:id="16"/>
      <w:bookmarkEnd w:id="17"/>
      <w:bookmarkEnd w:id="18"/>
      <w:bookmarkEnd w:id="19"/>
      <w:bookmarkEnd w:id="20"/>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w:t>
      </w:r>
      <w:r>
        <w:rPr>
          <w:rFonts w:hint="eastAsia" w:ascii="宋体" w:hAnsi="宋体" w:eastAsia="宋体"/>
          <w:color w:val="auto"/>
          <w:sz w:val="21"/>
          <w:szCs w:val="21"/>
          <w:highlight w:val="none"/>
          <w:lang w:eastAsia="zh-CN"/>
        </w:rPr>
        <w:t>相关规定</w:t>
      </w:r>
      <w:r>
        <w:rPr>
          <w:rFonts w:hint="eastAsia" w:ascii="宋体" w:hAnsi="宋体" w:eastAsia="宋体"/>
          <w:color w:val="auto"/>
          <w:sz w:val="21"/>
          <w:szCs w:val="21"/>
          <w:highlight w:val="none"/>
        </w:rPr>
        <w:t>组建的专门负责本次招标其评标工作的临时性机构。</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1" w:name="_Toc14014"/>
      <w:r>
        <w:rPr>
          <w:rFonts w:hint="eastAsia" w:ascii="宋体" w:hAnsi="宋体" w:eastAsia="宋体"/>
          <w:color w:val="auto"/>
          <w:sz w:val="21"/>
          <w:szCs w:val="21"/>
          <w:highlight w:val="none"/>
        </w:rPr>
        <w:t>3.货物和服务</w:t>
      </w:r>
      <w:bookmarkEnd w:id="21"/>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除货物和工程以外的其他采购对象</w:t>
      </w:r>
      <w:r>
        <w:rPr>
          <w:rFonts w:hint="eastAsia"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2" w:name="_Toc25490"/>
      <w:r>
        <w:rPr>
          <w:rFonts w:hint="eastAsia" w:ascii="宋体" w:hAnsi="宋体" w:eastAsia="宋体"/>
          <w:color w:val="auto"/>
          <w:sz w:val="21"/>
          <w:szCs w:val="21"/>
          <w:highlight w:val="none"/>
        </w:rPr>
        <w:t>4.投标费用</w:t>
      </w:r>
      <w:bookmarkEnd w:id="22"/>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3" w:name="_Toc15919"/>
      <w:r>
        <w:rPr>
          <w:rFonts w:hint="eastAsia" w:ascii="宋体" w:hAnsi="宋体" w:eastAsia="宋体"/>
          <w:color w:val="auto"/>
          <w:sz w:val="21"/>
          <w:szCs w:val="21"/>
          <w:highlight w:val="none"/>
        </w:rPr>
        <w:t>5.知识产权</w:t>
      </w:r>
      <w:bookmarkEnd w:id="23"/>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w:t>
      </w:r>
      <w:r>
        <w:rPr>
          <w:rFonts w:ascii="宋体" w:hAnsi="宋体" w:eastAsia="宋体"/>
          <w:color w:val="auto"/>
          <w:sz w:val="21"/>
          <w:szCs w:val="21"/>
          <w:highlight w:val="none"/>
        </w:rPr>
        <w:t>计算机办公设备时，</w:t>
      </w:r>
      <w:r>
        <w:rPr>
          <w:rFonts w:hint="eastAsia" w:ascii="宋体" w:hAnsi="宋体" w:eastAsia="宋体"/>
          <w:color w:val="auto"/>
          <w:sz w:val="21"/>
          <w:szCs w:val="21"/>
          <w:highlight w:val="none"/>
        </w:rPr>
        <w:t>投标人提供的产品必须是</w:t>
      </w:r>
      <w:r>
        <w:rPr>
          <w:rFonts w:ascii="宋体" w:hAnsi="宋体" w:eastAsia="宋体"/>
          <w:color w:val="auto"/>
          <w:sz w:val="21"/>
          <w:szCs w:val="21"/>
          <w:highlight w:val="none"/>
        </w:rPr>
        <w:t>预装正版操作系统软件的计算机产品</w:t>
      </w:r>
      <w:r>
        <w:rPr>
          <w:rFonts w:hint="eastAsia"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4" w:name="_Toc28736"/>
      <w:r>
        <w:rPr>
          <w:rFonts w:hint="eastAsia" w:ascii="宋体" w:hAnsi="宋体" w:eastAsia="宋体"/>
          <w:color w:val="auto"/>
          <w:sz w:val="21"/>
          <w:szCs w:val="21"/>
          <w:highlight w:val="none"/>
        </w:rPr>
        <w:t>6.关于联合体投标</w:t>
      </w:r>
      <w:bookmarkEnd w:id="24"/>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为小型、微型企业的，各方均应提供《中小企业声明函》；中小企业声明函作为联合体一方参与政府采购活动，且《共同投标协议书》中约定，小型、微型企业的协议合同金额占到联合体协议合同总金额30%以上的，应附中小微企业的《中小企业声明函》。</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5" w:name="_Toc9408"/>
      <w:r>
        <w:rPr>
          <w:rFonts w:hint="eastAsia" w:ascii="宋体" w:hAnsi="宋体" w:eastAsia="宋体"/>
          <w:color w:val="auto"/>
          <w:sz w:val="21"/>
          <w:szCs w:val="21"/>
          <w:highlight w:val="none"/>
        </w:rPr>
        <w:t>7.关于分支机构投标</w:t>
      </w:r>
      <w:bookmarkEnd w:id="25"/>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26" w:name="EB389f116341dd4693875bc7987e7327f3"/>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6"/>
    </w:p>
    <w:p>
      <w:pPr>
        <w:rPr>
          <w:color w:val="auto"/>
          <w:highlight w:val="none"/>
        </w:rPr>
      </w:pPr>
    </w:p>
    <w:p>
      <w:pPr>
        <w:pStyle w:val="4"/>
        <w:numPr>
          <w:ilvl w:val="0"/>
          <w:numId w:val="2"/>
        </w:numPr>
        <w:spacing w:before="0" w:after="0" w:line="480" w:lineRule="auto"/>
        <w:jc w:val="center"/>
        <w:rPr>
          <w:rFonts w:ascii="宋体" w:hAnsi="宋体" w:eastAsia="宋体"/>
          <w:color w:val="auto"/>
          <w:highlight w:val="none"/>
        </w:rPr>
      </w:pPr>
      <w:bookmarkStart w:id="27" w:name="_Toc13781"/>
      <w:r>
        <w:rPr>
          <w:rFonts w:hint="eastAsia" w:ascii="宋体" w:hAnsi="宋体" w:eastAsia="宋体"/>
          <w:color w:val="auto"/>
          <w:highlight w:val="none"/>
        </w:rPr>
        <w:t>招标文件</w:t>
      </w:r>
      <w:bookmarkEnd w:id="27"/>
    </w:p>
    <w:p>
      <w:pPr>
        <w:pStyle w:val="5"/>
        <w:widowControl w:val="0"/>
        <w:overflowPunct w:val="0"/>
        <w:spacing w:before="0" w:after="0" w:line="240" w:lineRule="auto"/>
        <w:rPr>
          <w:rFonts w:ascii="宋体" w:hAnsi="宋体" w:eastAsia="宋体"/>
          <w:color w:val="auto"/>
          <w:sz w:val="21"/>
          <w:szCs w:val="21"/>
          <w:highlight w:val="none"/>
        </w:rPr>
      </w:pPr>
      <w:bookmarkStart w:id="28" w:name="_Toc2761"/>
      <w:r>
        <w:rPr>
          <w:rFonts w:hint="eastAsia" w:ascii="宋体" w:hAnsi="宋体" w:eastAsia="宋体"/>
          <w:color w:val="auto"/>
          <w:sz w:val="21"/>
          <w:szCs w:val="21"/>
          <w:highlight w:val="none"/>
        </w:rPr>
        <w:t>8.招标文件的组成</w:t>
      </w:r>
      <w:bookmarkEnd w:id="28"/>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招标文件包括：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）拟签订的合同文本；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）投标文件格式；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）在招标过程中由采购代理机构发出的澄清更正文件等。</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9" w:name="_Toc30594"/>
      <w:r>
        <w:rPr>
          <w:rFonts w:hint="eastAsia" w:ascii="宋体" w:hAnsi="宋体" w:eastAsia="宋体"/>
          <w:color w:val="auto"/>
          <w:sz w:val="21"/>
          <w:szCs w:val="21"/>
          <w:highlight w:val="none"/>
        </w:rPr>
        <w:t>9.招标文件的澄清或修改</w:t>
      </w:r>
      <w:bookmarkEnd w:id="29"/>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3"/>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2"/>
        </w:numPr>
        <w:spacing w:before="0" w:after="0" w:line="480" w:lineRule="auto"/>
        <w:jc w:val="center"/>
        <w:rPr>
          <w:rFonts w:ascii="宋体" w:hAnsi="宋体" w:eastAsia="宋体"/>
          <w:color w:val="auto"/>
          <w:highlight w:val="none"/>
        </w:rPr>
      </w:pPr>
      <w:bookmarkStart w:id="30" w:name="_Toc8709"/>
      <w:r>
        <w:rPr>
          <w:rFonts w:hint="eastAsia" w:ascii="宋体" w:hAnsi="宋体" w:eastAsia="宋体"/>
          <w:color w:val="auto"/>
          <w:highlight w:val="none"/>
        </w:rPr>
        <w:t>投标文件的编制</w:t>
      </w:r>
      <w:bookmarkEnd w:id="30"/>
    </w:p>
    <w:p>
      <w:pPr>
        <w:pStyle w:val="5"/>
        <w:widowControl w:val="0"/>
        <w:overflowPunct w:val="0"/>
        <w:spacing w:before="0" w:after="0" w:line="240" w:lineRule="auto"/>
        <w:rPr>
          <w:rFonts w:ascii="宋体" w:hAnsi="宋体" w:eastAsia="宋体"/>
          <w:color w:val="auto"/>
          <w:sz w:val="21"/>
          <w:szCs w:val="21"/>
          <w:highlight w:val="none"/>
        </w:rPr>
      </w:pPr>
      <w:bookmarkStart w:id="31" w:name="_Toc30245"/>
      <w:r>
        <w:rPr>
          <w:rFonts w:hint="eastAsia" w:ascii="宋体" w:hAnsi="宋体" w:eastAsia="宋体"/>
          <w:color w:val="auto"/>
          <w:sz w:val="21"/>
          <w:szCs w:val="21"/>
          <w:highlight w:val="none"/>
        </w:rPr>
        <w:t>10.投标文件的语言及度量衡单位</w:t>
      </w:r>
      <w:bookmarkEnd w:id="31"/>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2" w:name="_Toc19904"/>
      <w:bookmarkStart w:id="33" w:name="_Toc303084256"/>
      <w:bookmarkStart w:id="34" w:name="_Toc382049103"/>
      <w:bookmarkStart w:id="35" w:name="_Toc28866"/>
      <w:bookmarkStart w:id="36" w:name="_Toc307934854"/>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32"/>
      <w:bookmarkEnd w:id="33"/>
      <w:bookmarkEnd w:id="34"/>
      <w:bookmarkEnd w:id="35"/>
      <w:bookmarkEnd w:id="36"/>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3"/>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7" w:name="_Toc7724"/>
      <w:r>
        <w:rPr>
          <w:rFonts w:hint="eastAsia" w:ascii="宋体" w:hAnsi="宋体" w:eastAsia="宋体"/>
          <w:color w:val="auto"/>
          <w:sz w:val="21"/>
          <w:szCs w:val="21"/>
          <w:highlight w:val="none"/>
        </w:rPr>
        <w:t>12.投标文件编制</w:t>
      </w:r>
      <w:bookmarkEnd w:id="37"/>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38" w:name="_Toc303084258"/>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和提供资料，投标人必须对投标文件所提供的全部材料的真实性承担法律责任，并无条件接受采购人或采购代理机构对其中任何资料进行核实的要求。</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投标人须客观撰写投标人简介（格式自理，并提供相关证明）以及所投的产品或服务说明。</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投标文件若出现以下内容，经评标委员会认定有可能间接影响评审秩序，作废标处理。</w:t>
      </w:r>
    </w:p>
    <w:p>
      <w:pPr>
        <w:pStyle w:val="24"/>
        <w:widowControl w:val="0"/>
        <w:numPr>
          <w:ilvl w:val="0"/>
          <w:numId w:val="4"/>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4"/>
        <w:widowControl w:val="0"/>
        <w:numPr>
          <w:ilvl w:val="0"/>
          <w:numId w:val="4"/>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bookmarkEnd w:id="38"/>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9" w:name="_Toc28060"/>
      <w:r>
        <w:rPr>
          <w:rFonts w:hint="eastAsia" w:ascii="宋体" w:hAnsi="宋体" w:eastAsia="宋体"/>
          <w:color w:val="auto"/>
          <w:sz w:val="21"/>
          <w:szCs w:val="21"/>
          <w:highlight w:val="none"/>
        </w:rPr>
        <w:t>13.投标报价说明</w:t>
      </w:r>
      <w:bookmarkEnd w:id="39"/>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w:t>
      </w:r>
      <w:r>
        <w:rPr>
          <w:rFonts w:hint="eastAsia" w:ascii="宋体" w:hAnsi="宋体" w:eastAsia="宋体"/>
          <w:color w:val="auto"/>
          <w:sz w:val="21"/>
          <w:szCs w:val="21"/>
          <w:highlight w:val="none"/>
          <w:lang w:eastAsia="zh-CN"/>
        </w:rPr>
        <w:t>（或相关费率）</w:t>
      </w:r>
      <w:r>
        <w:rPr>
          <w:rFonts w:hint="eastAsia" w:ascii="宋体" w:hAnsi="宋体" w:eastAsia="宋体"/>
          <w:color w:val="auto"/>
          <w:sz w:val="21"/>
          <w:szCs w:val="21"/>
          <w:highlight w:val="none"/>
        </w:rPr>
        <w:t>报价。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0" w:name="_Toc10722"/>
      <w:r>
        <w:rPr>
          <w:rFonts w:hint="eastAsia" w:ascii="宋体" w:hAnsi="宋体" w:eastAsia="宋体"/>
          <w:color w:val="auto"/>
          <w:sz w:val="21"/>
          <w:szCs w:val="21"/>
          <w:highlight w:val="none"/>
        </w:rPr>
        <w:t>14.投标人所提供的服务或货物的证明文件</w:t>
      </w:r>
      <w:bookmarkEnd w:id="40"/>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bookmarkStart w:id="41" w:name="_Hlt107925638"/>
      <w:bookmarkEnd w:id="41"/>
      <w:bookmarkStart w:id="42" w:name="_Hlt107925668"/>
      <w:bookmarkEnd w:id="42"/>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w:t>
      </w:r>
      <w:r>
        <w:rPr>
          <w:rFonts w:hint="eastAsia" w:ascii="宋体" w:hAnsi="宋体" w:eastAsia="宋体"/>
          <w:color w:val="auto"/>
          <w:sz w:val="21"/>
          <w:szCs w:val="21"/>
          <w:highlight w:val="none"/>
          <w:lang w:eastAsia="zh-CN"/>
        </w:rPr>
        <w:t>三</w:t>
      </w:r>
      <w:r>
        <w:rPr>
          <w:rFonts w:hint="eastAsia" w:ascii="宋体" w:hAnsi="宋体" w:eastAsia="宋体"/>
          <w:color w:val="auto"/>
          <w:sz w:val="21"/>
          <w:szCs w:val="21"/>
          <w:highlight w:val="none"/>
        </w:rPr>
        <w:t>部分《用户需求书》中规定的要求进行详细应答和说明。</w:t>
      </w:r>
    </w:p>
    <w:p>
      <w:pPr>
        <w:pStyle w:val="24"/>
        <w:widowControl w:val="0"/>
        <w:adjustRightInd/>
        <w:snapToGrid/>
        <w:spacing w:after="0" w:line="360" w:lineRule="exact"/>
        <w:ind w:left="425" w:firstLine="0" w:firstLineChars="0"/>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3" w:name="_Toc28478"/>
      <w:r>
        <w:rPr>
          <w:rFonts w:hint="eastAsia" w:ascii="宋体" w:hAnsi="宋体" w:eastAsia="宋体"/>
          <w:color w:val="auto"/>
          <w:sz w:val="21"/>
          <w:szCs w:val="21"/>
          <w:highlight w:val="none"/>
        </w:rPr>
        <w:t>15.★投标有效期</w:t>
      </w:r>
      <w:bookmarkEnd w:id="43"/>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4" w:name="_Toc718"/>
      <w:r>
        <w:rPr>
          <w:rFonts w:hint="eastAsia" w:ascii="宋体" w:hAnsi="宋体" w:eastAsia="宋体"/>
          <w:color w:val="auto"/>
          <w:sz w:val="21"/>
          <w:szCs w:val="21"/>
          <w:highlight w:val="none"/>
        </w:rPr>
        <w:t>16.★投标保证金</w:t>
      </w:r>
      <w:bookmarkEnd w:id="44"/>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45" w:name="_Ref179619405"/>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5"/>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投标人应按要求提交投标保证金，投标人必须采用银行转账、电汇或担保函形式一次性缴交招标文件规定数额的投标保证金，投标人与交款人名称必须一致，非投标人缴纳的投标保证金无效。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采购合同的，由担保机构按照担保函的约定履行支付投标保证金的责任。</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未中标的投标人的保证金应当在中标通知书发出后5个工作日内退还，中标投标人的保证金应当在采购合同签订后5个工作日内退还。</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规定的其他情形。</w:t>
      </w:r>
      <w:r>
        <w:rPr>
          <w:rFonts w:ascii="宋体" w:hAnsi="宋体" w:eastAsia="宋体"/>
          <w:color w:val="auto"/>
          <w:sz w:val="21"/>
          <w:szCs w:val="21"/>
          <w:highlight w:val="none"/>
        </w:rPr>
        <w:t xml:space="preserve"> </w:t>
      </w:r>
    </w:p>
    <w:p>
      <w:pPr>
        <w:rPr>
          <w:color w:val="auto"/>
          <w:highlight w:val="none"/>
        </w:rPr>
      </w:pPr>
    </w:p>
    <w:p>
      <w:pPr>
        <w:pStyle w:val="4"/>
        <w:numPr>
          <w:ilvl w:val="0"/>
          <w:numId w:val="2"/>
        </w:numPr>
        <w:spacing w:before="0" w:after="0" w:line="480" w:lineRule="auto"/>
        <w:jc w:val="center"/>
        <w:rPr>
          <w:rFonts w:ascii="宋体" w:hAnsi="宋体" w:eastAsia="宋体"/>
          <w:color w:val="auto"/>
          <w:highlight w:val="none"/>
        </w:rPr>
      </w:pPr>
      <w:bookmarkStart w:id="46" w:name="_Toc26276"/>
      <w:r>
        <w:rPr>
          <w:rFonts w:hint="eastAsia" w:ascii="宋体" w:hAnsi="宋体" w:eastAsia="宋体"/>
          <w:color w:val="auto"/>
          <w:highlight w:val="none"/>
        </w:rPr>
        <w:t>投标文件的递交</w:t>
      </w:r>
      <w:bookmarkEnd w:id="46"/>
    </w:p>
    <w:p>
      <w:pPr>
        <w:pStyle w:val="5"/>
        <w:widowControl w:val="0"/>
        <w:overflowPunct w:val="0"/>
        <w:spacing w:before="0" w:after="0" w:line="240" w:lineRule="auto"/>
        <w:rPr>
          <w:rFonts w:ascii="宋体" w:hAnsi="宋体" w:eastAsia="宋体"/>
          <w:color w:val="auto"/>
          <w:sz w:val="21"/>
          <w:szCs w:val="21"/>
          <w:highlight w:val="none"/>
        </w:rPr>
      </w:pPr>
      <w:bookmarkStart w:id="47" w:name="_Toc382049111"/>
      <w:bookmarkStart w:id="48" w:name="_Toc17218"/>
      <w:bookmarkStart w:id="49" w:name="_Toc24997"/>
      <w:bookmarkStart w:id="50" w:name="_Toc303084264"/>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7"/>
      <w:bookmarkEnd w:id="48"/>
      <w:bookmarkEnd w:id="49"/>
      <w:bookmarkEnd w:id="50"/>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投标人应当对投标文件进行装订，对未经装订的投标文件可能发生的文件缺</w:t>
      </w:r>
      <w:r>
        <w:rPr>
          <w:rFonts w:hint="eastAsia" w:ascii="宋体" w:hAnsi="宋体" w:eastAsia="宋体"/>
          <w:color w:val="auto"/>
          <w:sz w:val="21"/>
          <w:szCs w:val="21"/>
          <w:highlight w:val="none"/>
          <w:lang w:eastAsia="zh-CN"/>
        </w:rPr>
        <w:t>损</w:t>
      </w:r>
      <w:r>
        <w:rPr>
          <w:rFonts w:ascii="宋体" w:hAnsi="宋体" w:eastAsia="宋体"/>
          <w:color w:val="auto"/>
          <w:sz w:val="21"/>
          <w:szCs w:val="21"/>
          <w:highlight w:val="none"/>
        </w:rPr>
        <w:t>，由此产生的后果由投标人承担</w:t>
      </w:r>
      <w:r>
        <w:rPr>
          <w:rFonts w:hint="eastAsia" w:ascii="宋体" w:hAnsi="宋体" w:eastAsia="宋体"/>
          <w:color w:val="auto"/>
          <w:sz w:val="21"/>
          <w:szCs w:val="21"/>
          <w:highlight w:val="none"/>
          <w:lang w:eastAsia="zh-CN"/>
        </w:rPr>
        <w:t>；投标文件未装订成册，投标文件无效</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，随投标文件一同密封提交。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w:t>
      </w:r>
      <w:r>
        <w:rPr>
          <w:rFonts w:hint="eastAsia" w:ascii="宋体" w:hAnsi="宋体" w:eastAsia="宋体"/>
          <w:color w:val="auto"/>
          <w:sz w:val="21"/>
          <w:szCs w:val="21"/>
          <w:highlight w:val="none"/>
          <w:lang w:eastAsia="zh-CN"/>
        </w:rPr>
        <w:t>及</w:t>
      </w:r>
      <w:r>
        <w:rPr>
          <w:rFonts w:hint="eastAsia" w:ascii="宋体" w:hAnsi="宋体" w:eastAsia="宋体"/>
          <w:color w:val="auto"/>
          <w:sz w:val="21"/>
          <w:szCs w:val="21"/>
          <w:highlight w:val="none"/>
        </w:rPr>
        <w:t>盖章</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投标人应将投标文件进行非透明的封装，以防止投标文件内容的泄露。采购代理机构将拒绝接收采用透明包装进行密封的投标文件。</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密封破损导致投标文件内容直接或间接泄露的投标文件，采购代理机构将拒绝接收。</w:t>
      </w:r>
    </w:p>
    <w:p>
      <w:pPr>
        <w:widowControl w:val="0"/>
        <w:numPr>
          <w:ilvl w:val="1"/>
          <w:numId w:val="3"/>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3"/>
        </w:numPr>
        <w:adjustRightInd/>
        <w:snapToGrid/>
        <w:spacing w:after="0" w:line="360" w:lineRule="exact"/>
        <w:jc w:val="both"/>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未单独提交开标文件的投标人投标文件不进行唱标</w:t>
      </w:r>
      <w:r>
        <w:rPr>
          <w:rFonts w:hint="eastAsia" w:ascii="宋体" w:hAnsi="宋体" w:eastAsia="宋体"/>
          <w:b/>
          <w:bCs/>
          <w:color w:val="auto"/>
          <w:sz w:val="21"/>
          <w:szCs w:val="21"/>
          <w:highlight w:val="none"/>
          <w:lang w:eastAsia="zh-CN"/>
        </w:rPr>
        <w:t>，投标文件作无效处理</w:t>
      </w:r>
      <w:r>
        <w:rPr>
          <w:rFonts w:hint="eastAsia" w:ascii="宋体" w:hAnsi="宋体" w:eastAsia="宋体"/>
          <w:b/>
          <w:bCs/>
          <w:color w:val="auto"/>
          <w:sz w:val="21"/>
          <w:szCs w:val="21"/>
          <w:highlight w:val="none"/>
        </w:rPr>
        <w:t>。</w:t>
      </w:r>
    </w:p>
    <w:p>
      <w:pPr>
        <w:widowControl w:val="0"/>
        <w:numPr>
          <w:ilvl w:val="1"/>
          <w:numId w:val="3"/>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未进行项目报名的单位（以采购代理机构报名表</w:t>
      </w:r>
      <w:r>
        <w:rPr>
          <w:rFonts w:hint="eastAsia" w:ascii="宋体" w:hAnsi="宋体" w:eastAsia="宋体"/>
          <w:color w:val="auto"/>
          <w:sz w:val="21"/>
          <w:szCs w:val="21"/>
          <w:highlight w:val="none"/>
          <w:lang w:eastAsia="zh-CN"/>
        </w:rPr>
        <w:t>或报名发票</w:t>
      </w:r>
      <w:r>
        <w:rPr>
          <w:rFonts w:hint="eastAsia" w:ascii="宋体" w:hAnsi="宋体" w:eastAsia="宋体"/>
          <w:color w:val="auto"/>
          <w:sz w:val="21"/>
          <w:szCs w:val="21"/>
          <w:highlight w:val="none"/>
        </w:rPr>
        <w:t>为准）递交的投标文件，采购代理机构将拒绝接收。</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密封信封上的项目编号错误或项目名称出现严重歧义的（包括采购内容不符），采购代理机构将拒绝接收。</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电传的投标文件将被拒绝。</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1" w:name="_Toc10743"/>
      <w:r>
        <w:rPr>
          <w:rFonts w:hint="eastAsia" w:ascii="宋体" w:hAnsi="宋体" w:eastAsia="宋体"/>
          <w:color w:val="auto"/>
          <w:sz w:val="21"/>
          <w:szCs w:val="21"/>
          <w:highlight w:val="none"/>
        </w:rPr>
        <w:t>18.迟交的投标文件</w:t>
      </w:r>
      <w:bookmarkEnd w:id="51"/>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2" w:name="_Toc348"/>
      <w:r>
        <w:rPr>
          <w:rFonts w:hint="eastAsia" w:ascii="宋体" w:hAnsi="宋体" w:eastAsia="宋体"/>
          <w:color w:val="auto"/>
          <w:sz w:val="21"/>
          <w:szCs w:val="21"/>
          <w:highlight w:val="none"/>
        </w:rPr>
        <w:t>19.投标样品（如需提交）</w:t>
      </w:r>
      <w:bookmarkEnd w:id="52"/>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w:t>
      </w:r>
      <w:r>
        <w:rPr>
          <w:rFonts w:hint="eastAsia" w:ascii="宋体" w:hAnsi="宋体" w:eastAsia="宋体"/>
          <w:color w:val="auto"/>
          <w:sz w:val="21"/>
          <w:szCs w:val="21"/>
          <w:highlight w:val="none"/>
          <w:lang w:eastAsia="zh-CN"/>
        </w:rPr>
        <w:t>应</w:t>
      </w:r>
      <w:r>
        <w:rPr>
          <w:rFonts w:hint="eastAsia" w:ascii="宋体" w:hAnsi="宋体" w:eastAsia="宋体"/>
          <w:color w:val="auto"/>
          <w:sz w:val="21"/>
          <w:szCs w:val="21"/>
          <w:highlight w:val="none"/>
        </w:rPr>
        <w:t>在所提供的样品表面显著位置标注投标人的名称、包号、样品名称、招标文件规定的服务或货物编号。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3" w:name="_Toc303084265"/>
      <w:bookmarkStart w:id="54" w:name="_Toc5391"/>
      <w:bookmarkStart w:id="55" w:name="_Toc382049112"/>
      <w:bookmarkStart w:id="56" w:name="_Toc9777"/>
      <w:r>
        <w:rPr>
          <w:rFonts w:hint="eastAsia" w:ascii="宋体" w:hAnsi="宋体" w:eastAsia="宋体"/>
          <w:color w:val="auto"/>
          <w:sz w:val="21"/>
          <w:szCs w:val="21"/>
          <w:highlight w:val="none"/>
        </w:rPr>
        <w:t>20.投标截止期</w:t>
      </w:r>
      <w:bookmarkEnd w:id="53"/>
      <w:bookmarkEnd w:id="54"/>
      <w:bookmarkEnd w:id="55"/>
      <w:bookmarkEnd w:id="56"/>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w:t>
      </w:r>
      <w:r>
        <w:rPr>
          <w:rFonts w:hint="eastAsia" w:ascii="宋体" w:hAnsi="宋体" w:eastAsia="宋体"/>
          <w:color w:val="auto"/>
          <w:sz w:val="21"/>
          <w:szCs w:val="21"/>
          <w:highlight w:val="none"/>
          <w:lang w:eastAsia="zh-CN"/>
        </w:rPr>
        <w:t>内</w:t>
      </w:r>
      <w:r>
        <w:rPr>
          <w:rFonts w:hint="eastAsia" w:ascii="宋体" w:hAnsi="宋体" w:eastAsia="宋体"/>
          <w:color w:val="auto"/>
          <w:sz w:val="21"/>
          <w:szCs w:val="21"/>
          <w:highlight w:val="none"/>
        </w:rPr>
        <w:t>，将投标文件送达到指定地点。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7" w:name="_Toc5886"/>
      <w:r>
        <w:rPr>
          <w:rFonts w:hint="eastAsia" w:ascii="宋体" w:hAnsi="宋体" w:eastAsia="宋体"/>
          <w:color w:val="auto"/>
          <w:sz w:val="21"/>
          <w:szCs w:val="21"/>
          <w:highlight w:val="none"/>
        </w:rPr>
        <w:t>21.投标文件的补充、修改与撤回</w:t>
      </w:r>
      <w:bookmarkEnd w:id="57"/>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4"/>
        <w:numPr>
          <w:ilvl w:val="0"/>
          <w:numId w:val="2"/>
        </w:numPr>
        <w:spacing w:before="0" w:after="0" w:line="480" w:lineRule="auto"/>
        <w:jc w:val="center"/>
        <w:rPr>
          <w:rFonts w:ascii="宋体" w:hAnsi="宋体" w:eastAsia="宋体"/>
          <w:color w:val="auto"/>
          <w:highlight w:val="none"/>
        </w:rPr>
      </w:pPr>
      <w:bookmarkStart w:id="58" w:name="_Toc31243"/>
      <w:r>
        <w:rPr>
          <w:rFonts w:hint="eastAsia" w:ascii="宋体" w:hAnsi="宋体" w:eastAsia="宋体"/>
          <w:color w:val="auto"/>
          <w:highlight w:val="none"/>
        </w:rPr>
        <w:t>开标与评标</w:t>
      </w:r>
      <w:bookmarkEnd w:id="58"/>
    </w:p>
    <w:p>
      <w:pPr>
        <w:pStyle w:val="5"/>
        <w:widowControl w:val="0"/>
        <w:overflowPunct w:val="0"/>
        <w:spacing w:before="0" w:after="0" w:line="240" w:lineRule="auto"/>
        <w:rPr>
          <w:rFonts w:ascii="宋体" w:hAnsi="宋体" w:eastAsia="宋体"/>
          <w:color w:val="auto"/>
          <w:sz w:val="21"/>
          <w:szCs w:val="21"/>
          <w:highlight w:val="none"/>
        </w:rPr>
      </w:pPr>
      <w:bookmarkStart w:id="59" w:name="_Toc30340"/>
      <w:r>
        <w:rPr>
          <w:rFonts w:hint="eastAsia" w:ascii="宋体" w:hAnsi="宋体" w:eastAsia="宋体"/>
          <w:color w:val="auto"/>
          <w:sz w:val="21"/>
          <w:szCs w:val="21"/>
          <w:highlight w:val="none"/>
        </w:rPr>
        <w:t>22.开标</w:t>
      </w:r>
      <w:bookmarkEnd w:id="59"/>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w:t>
      </w:r>
      <w:r>
        <w:rPr>
          <w:rFonts w:hint="eastAsia" w:ascii="宋体" w:hAnsi="宋体" w:eastAsia="宋体"/>
          <w:color w:val="auto"/>
          <w:sz w:val="21"/>
          <w:szCs w:val="21"/>
          <w:highlight w:val="none"/>
          <w:lang w:eastAsia="zh-CN"/>
        </w:rPr>
        <w:t>异议</w:t>
      </w:r>
      <w:r>
        <w:rPr>
          <w:rFonts w:hint="eastAsia" w:ascii="宋体" w:hAnsi="宋体" w:eastAsia="宋体"/>
          <w:color w:val="auto"/>
          <w:sz w:val="21"/>
          <w:szCs w:val="21"/>
          <w:highlight w:val="none"/>
        </w:rPr>
        <w:t>，以及认为采购人、采购代理机构相关工作人员有需要回避的情形的，应当场提出询问或者回避申请。开标现场未提出</w:t>
      </w:r>
      <w:r>
        <w:rPr>
          <w:rFonts w:hint="eastAsia" w:ascii="宋体" w:hAnsi="宋体" w:eastAsia="宋体"/>
          <w:color w:val="auto"/>
          <w:sz w:val="21"/>
          <w:szCs w:val="21"/>
          <w:highlight w:val="none"/>
          <w:lang w:eastAsia="zh-CN"/>
        </w:rPr>
        <w:t>异议</w:t>
      </w:r>
      <w:r>
        <w:rPr>
          <w:rFonts w:hint="eastAsia" w:ascii="宋体" w:hAnsi="宋体" w:eastAsia="宋体"/>
          <w:color w:val="auto"/>
          <w:sz w:val="21"/>
          <w:szCs w:val="21"/>
          <w:highlight w:val="none"/>
        </w:rPr>
        <w:t>的视为认同开标结果。开标结束后，投标人对开标过程和开标记录不得再提出</w:t>
      </w:r>
      <w:r>
        <w:rPr>
          <w:rFonts w:hint="eastAsia" w:ascii="宋体" w:hAnsi="宋体" w:eastAsia="宋体"/>
          <w:color w:val="auto"/>
          <w:sz w:val="21"/>
          <w:szCs w:val="21"/>
          <w:highlight w:val="none"/>
          <w:lang w:eastAsia="zh-CN"/>
        </w:rPr>
        <w:t>异议</w:t>
      </w:r>
      <w:r>
        <w:rPr>
          <w:rFonts w:hint="eastAsia"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0" w:name="_Toc12198"/>
      <w:r>
        <w:rPr>
          <w:rFonts w:hint="eastAsia" w:ascii="宋体" w:hAnsi="宋体" w:eastAsia="宋体"/>
          <w:color w:val="auto"/>
          <w:sz w:val="21"/>
          <w:szCs w:val="21"/>
          <w:highlight w:val="none"/>
        </w:rPr>
        <w:t>23.评标委员会及评标方法</w:t>
      </w:r>
      <w:bookmarkEnd w:id="60"/>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评标委员会和采购人在评审过程中有权核对投标文件中相关材料的原件，投标人在接到通知后应在评标委员会规定的时间内提交原件核查。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1" w:name="_Toc23115"/>
      <w:r>
        <w:rPr>
          <w:rFonts w:hint="eastAsia" w:ascii="宋体" w:hAnsi="宋体" w:eastAsia="宋体"/>
          <w:color w:val="auto"/>
          <w:sz w:val="21"/>
          <w:szCs w:val="21"/>
          <w:highlight w:val="none"/>
        </w:rPr>
        <w:t>24.评审原则及评标过程的保密</w:t>
      </w:r>
      <w:bookmarkEnd w:id="61"/>
    </w:p>
    <w:p>
      <w:pPr>
        <w:pStyle w:val="24"/>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的规定，遵循“公开、公平、公正、择优、信用”的原则进行评审工作。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2" w:name="_Toc29486"/>
      <w:r>
        <w:rPr>
          <w:rFonts w:hint="eastAsia" w:ascii="宋体" w:hAnsi="宋体" w:eastAsia="宋体"/>
          <w:color w:val="auto"/>
          <w:sz w:val="21"/>
          <w:szCs w:val="21"/>
          <w:highlight w:val="none"/>
        </w:rPr>
        <w:t>25.投标文件的初审</w:t>
      </w:r>
      <w:bookmarkEnd w:id="62"/>
    </w:p>
    <w:p>
      <w:pPr>
        <w:pStyle w:val="24"/>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的实质性要求。</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未响应招标文件的实质要求的投标文件</w:t>
      </w:r>
      <w:r>
        <w:rPr>
          <w:rFonts w:hint="eastAsia" w:ascii="宋体" w:hAnsi="宋体" w:eastAsia="宋体"/>
          <w:color w:val="auto"/>
          <w:sz w:val="21"/>
          <w:szCs w:val="21"/>
          <w:highlight w:val="none"/>
        </w:rPr>
        <w:t>作废标处理。投标人不得通过修正或撤消不合要求的偏离或保留从而使其投标成为实质上响应的投标。评标委员会评审中，</w:t>
      </w:r>
      <w:r>
        <w:rPr>
          <w:rFonts w:hint="eastAsia" w:ascii="宋体" w:hAnsi="宋体" w:eastAsia="宋体"/>
          <w:b/>
          <w:color w:val="auto"/>
          <w:sz w:val="21"/>
          <w:szCs w:val="21"/>
          <w:highlight w:val="none"/>
        </w:rPr>
        <w:t>发现下列情况之一的，其投标将作废标处理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（一）资格性检查</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②资格证明文件有效期过期的；③《营业执照》复印件（加盖公章）或《事业单位法人证书》复印件（加盖公章）或其他主体证书复印件（加盖公章）未提供或有效期过期的。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bookmarkStart w:id="63" w:name="_Ref179621189"/>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（二）符合性检查</w:t>
      </w:r>
      <w:bookmarkEnd w:id="63"/>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包括但不限于：①投标文件的数量、制作不符合要求（包括但不限于投标文件内容与采购内容不符，投标文件项目</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错误，投标文件项目名称错误导致无法分表所投项目为本项目的，</w:t>
      </w:r>
      <w:r>
        <w:rPr>
          <w:rFonts w:hint="eastAsia" w:ascii="宋体" w:hAnsi="宋体" w:eastAsia="宋体"/>
          <w:color w:val="auto"/>
          <w:sz w:val="21"/>
          <w:szCs w:val="21"/>
          <w:highlight w:val="none"/>
          <w:lang w:eastAsia="zh-CN"/>
        </w:rPr>
        <w:t>投标文件散落</w:t>
      </w:r>
      <w:r>
        <w:rPr>
          <w:rFonts w:hint="eastAsia" w:ascii="宋体" w:hAnsi="宋体" w:eastAsia="宋体"/>
          <w:color w:val="auto"/>
          <w:sz w:val="21"/>
          <w:szCs w:val="21"/>
          <w:highlight w:val="none"/>
        </w:rPr>
        <w:t>，未提供单独的开标文件等）；②投标文件中要求签字的内容无法定代表人或其授权代表签字，或签字人无法定代表人有效授权的；③签字盖章不符合招标文件要求的；④投标文件内容有严重缺漏项的；⑤投标报价有严重缺漏项的；⑥投标文件的关键内容字迹模糊、无法辨认的；⑦投标有效期不符合文件要求的；⑧投标书内容存在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同时提供两套或两套以上的投标方案的；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采购代理机构服务费条款有偏离的；⑥投标人低于成本报价且未提供相关说明文件竞标的；⑦投标文件附有采购人不能接受的条件的；⑧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①投标报价超过本招标文件明确的项目预算或文件明确的最高限价；②投标报价格式与文件要求不符</w:t>
      </w:r>
      <w:r>
        <w:rPr>
          <w:rFonts w:hint="eastAsia" w:ascii="宋体" w:hAnsi="宋体" w:eastAsia="宋体"/>
          <w:color w:val="auto"/>
          <w:sz w:val="21"/>
          <w:szCs w:val="21"/>
          <w:highlight w:val="none"/>
          <w:lang w:eastAsia="zh-CN"/>
        </w:rPr>
        <w:t>；③开标一览表格式或内容与招标文件要求不符。</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4" w:name="_Toc19775"/>
      <w:r>
        <w:rPr>
          <w:rFonts w:hint="eastAsia" w:ascii="宋体" w:hAnsi="宋体" w:eastAsia="宋体"/>
          <w:color w:val="auto"/>
          <w:sz w:val="21"/>
          <w:szCs w:val="21"/>
          <w:highlight w:val="none"/>
        </w:rPr>
        <w:t>26.商务、技术、价格评审（具体评审项目详见投标资料表）</w:t>
      </w:r>
      <w:bookmarkEnd w:id="64"/>
    </w:p>
    <w:p>
      <w:pPr>
        <w:pStyle w:val="24"/>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w:t>
      </w:r>
      <w:r>
        <w:rPr>
          <w:rFonts w:hint="eastAsia" w:ascii="宋体" w:hAnsi="宋体" w:eastAsia="宋体"/>
          <w:color w:val="auto"/>
          <w:sz w:val="21"/>
          <w:szCs w:val="21"/>
          <w:highlight w:val="none"/>
        </w:rPr>
        <w:t>资格性审查和</w:t>
      </w:r>
      <w:r>
        <w:rPr>
          <w:rFonts w:ascii="宋体" w:hAnsi="宋体" w:eastAsia="宋体"/>
          <w:color w:val="auto"/>
          <w:sz w:val="21"/>
          <w:szCs w:val="21"/>
          <w:highlight w:val="none"/>
        </w:rPr>
        <w:t>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hint="eastAsia" w:ascii="宋体" w:hAnsi="宋体" w:eastAsia="宋体"/>
          <w:color w:val="auto"/>
          <w:sz w:val="21"/>
          <w:szCs w:val="21"/>
          <w:highlight w:val="none"/>
          <w:lang w:val="en-US" w:eastAsia="zh-CN"/>
        </w:rPr>
      </w:pPr>
      <w:bookmarkStart w:id="65" w:name="_Toc17229"/>
      <w:r>
        <w:rPr>
          <w:rFonts w:hint="eastAsia" w:ascii="宋体" w:hAnsi="宋体" w:eastAsia="宋体"/>
          <w:color w:val="auto"/>
          <w:sz w:val="21"/>
          <w:szCs w:val="21"/>
          <w:highlight w:val="none"/>
        </w:rPr>
        <w:t>27.优惠政策</w:t>
      </w:r>
      <w:bookmarkEnd w:id="65"/>
      <w:r>
        <w:rPr>
          <w:rFonts w:hint="eastAsia" w:ascii="宋体" w:hAnsi="宋体" w:eastAsia="宋体"/>
          <w:color w:val="auto"/>
          <w:sz w:val="21"/>
          <w:szCs w:val="21"/>
          <w:highlight w:val="none"/>
          <w:lang w:eastAsia="zh-CN"/>
        </w:rPr>
        <w:t>（仅适用于政府采购）</w:t>
      </w:r>
    </w:p>
    <w:p>
      <w:pPr>
        <w:pStyle w:val="24"/>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政府采购促进中小企业发展暂行办法》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w:t>
      </w:r>
      <w:r>
        <w:rPr>
          <w:rFonts w:hint="eastAsia" w:ascii="宋体" w:hAnsi="宋体" w:eastAsia="宋体"/>
          <w:color w:val="auto"/>
          <w:sz w:val="21"/>
          <w:szCs w:val="21"/>
          <w:highlight w:val="none"/>
          <w:lang w:eastAsia="zh-CN"/>
        </w:rPr>
        <w:t>对应产品</w:t>
      </w:r>
      <w:r>
        <w:rPr>
          <w:rFonts w:hint="eastAsia" w:ascii="宋体" w:hAnsi="宋体" w:eastAsia="宋体"/>
          <w:color w:val="auto"/>
          <w:sz w:val="21"/>
          <w:szCs w:val="21"/>
          <w:highlight w:val="none"/>
        </w:rPr>
        <w:t>价格的扣除详见投标资料表。</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一定的价格扣除（详见投标资料表）。</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6" w:name="_Toc316375620"/>
      <w:bookmarkStart w:id="67" w:name="_Toc20328"/>
      <w:bookmarkStart w:id="68" w:name="_Toc15628"/>
      <w:bookmarkStart w:id="69" w:name="_Toc382049120"/>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6"/>
      <w:r>
        <w:rPr>
          <w:rFonts w:hint="eastAsia" w:ascii="宋体" w:hAnsi="宋体" w:eastAsia="宋体"/>
          <w:color w:val="auto"/>
          <w:sz w:val="21"/>
          <w:szCs w:val="21"/>
          <w:highlight w:val="none"/>
        </w:rPr>
        <w:t>事项</w:t>
      </w:r>
      <w:bookmarkEnd w:id="67"/>
      <w:bookmarkEnd w:id="68"/>
      <w:bookmarkEnd w:id="69"/>
    </w:p>
    <w:p>
      <w:pPr>
        <w:pStyle w:val="24"/>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numPr>
          <w:ilvl w:val="0"/>
          <w:numId w:val="2"/>
        </w:numPr>
        <w:spacing w:before="0" w:after="0" w:line="480" w:lineRule="auto"/>
        <w:jc w:val="center"/>
        <w:rPr>
          <w:rFonts w:ascii="宋体" w:hAnsi="宋体" w:eastAsia="宋体"/>
          <w:color w:val="auto"/>
          <w:highlight w:val="none"/>
        </w:rPr>
      </w:pPr>
      <w:bookmarkStart w:id="70" w:name="_Toc16902"/>
      <w:r>
        <w:rPr>
          <w:rFonts w:hint="eastAsia" w:ascii="宋体" w:hAnsi="宋体" w:eastAsia="宋体"/>
          <w:color w:val="auto"/>
          <w:highlight w:val="none"/>
        </w:rPr>
        <w:t>授予合同</w:t>
      </w:r>
      <w:bookmarkEnd w:id="70"/>
    </w:p>
    <w:p>
      <w:pPr>
        <w:pStyle w:val="5"/>
        <w:widowControl w:val="0"/>
        <w:overflowPunct w:val="0"/>
        <w:spacing w:before="0" w:after="0" w:line="240" w:lineRule="auto"/>
        <w:rPr>
          <w:rFonts w:ascii="宋体" w:hAnsi="宋体" w:eastAsia="宋体"/>
          <w:color w:val="auto"/>
          <w:sz w:val="21"/>
          <w:szCs w:val="21"/>
          <w:highlight w:val="none"/>
        </w:rPr>
      </w:pPr>
      <w:bookmarkStart w:id="71" w:name="_Toc508284011"/>
      <w:bookmarkStart w:id="72" w:name="_Toc272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71"/>
      <w:bookmarkEnd w:id="72"/>
    </w:p>
    <w:p>
      <w:pPr>
        <w:pStyle w:val="24"/>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3" w:name="_Toc24457"/>
      <w:bookmarkStart w:id="74" w:name="_Toc508284013"/>
      <w:r>
        <w:rPr>
          <w:rFonts w:hint="eastAsia" w:ascii="宋体" w:hAnsi="宋体" w:eastAsia="宋体"/>
          <w:color w:val="auto"/>
          <w:sz w:val="21"/>
          <w:szCs w:val="21"/>
          <w:highlight w:val="none"/>
        </w:rPr>
        <w:t>30.发布中标结果</w:t>
      </w:r>
      <w:bookmarkEnd w:id="73"/>
      <w:bookmarkEnd w:id="74"/>
    </w:p>
    <w:p>
      <w:pPr>
        <w:pStyle w:val="24"/>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《中标通知书》是合同的一个组成部分，《中标通知书》对采购人和中标人均具有同等法律效力。</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5" w:name="_Toc29766"/>
      <w:r>
        <w:rPr>
          <w:rFonts w:hint="eastAsia" w:ascii="宋体" w:hAnsi="宋体" w:eastAsia="宋体"/>
          <w:color w:val="auto"/>
          <w:sz w:val="21"/>
          <w:szCs w:val="21"/>
          <w:highlight w:val="none"/>
        </w:rPr>
        <w:t>31.合同的签订与履行</w:t>
      </w:r>
      <w:bookmarkEnd w:id="75"/>
    </w:p>
    <w:p>
      <w:pPr>
        <w:pStyle w:val="24"/>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采购合同的履行、违约责任和解决争议的方法等适用《中华人民共和国合同法》。</w:t>
      </w:r>
    </w:p>
    <w:p>
      <w:pPr>
        <w:widowControl w:val="0"/>
        <w:numPr>
          <w:ilvl w:val="1"/>
          <w:numId w:val="3"/>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w:t>
      </w:r>
      <w:r>
        <w:rPr>
          <w:rFonts w:hint="eastAsia" w:ascii="宋体" w:hAnsi="宋体" w:eastAsia="宋体"/>
          <w:b/>
          <w:color w:val="auto"/>
          <w:sz w:val="21"/>
          <w:szCs w:val="21"/>
          <w:highlight w:val="none"/>
          <w:lang w:eastAsia="zh-CN"/>
        </w:rPr>
        <w:t>应</w:t>
      </w:r>
      <w:r>
        <w:rPr>
          <w:rFonts w:hint="eastAsia" w:ascii="宋体" w:hAnsi="宋体" w:eastAsia="宋体"/>
          <w:b/>
          <w:color w:val="auto"/>
          <w:sz w:val="21"/>
          <w:szCs w:val="21"/>
          <w:highlight w:val="none"/>
        </w:rPr>
        <w:t>将所签订的合同副本（加盖公章）交至</w:t>
      </w:r>
      <w:r>
        <w:rPr>
          <w:rFonts w:hint="eastAsia" w:ascii="宋体" w:hAnsi="宋体" w:eastAsia="宋体"/>
          <w:b/>
          <w:color w:val="auto"/>
          <w:sz w:val="21"/>
          <w:szCs w:val="21"/>
          <w:highlight w:val="none"/>
          <w:lang w:eastAsia="zh-CN"/>
        </w:rPr>
        <w:t>三方诚信招标有限公司</w:t>
      </w:r>
      <w:r>
        <w:rPr>
          <w:rFonts w:hint="eastAsia" w:ascii="宋体" w:hAnsi="宋体" w:eastAsia="宋体"/>
          <w:b/>
          <w:color w:val="auto"/>
          <w:sz w:val="21"/>
          <w:szCs w:val="21"/>
          <w:highlight w:val="none"/>
        </w:rPr>
        <w:t>东莞分公司归档。</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6" w:name="_Toc303084277"/>
      <w:bookmarkStart w:id="77" w:name="_Toc29009"/>
      <w:bookmarkStart w:id="78" w:name="_Toc382049124"/>
      <w:bookmarkStart w:id="79" w:name="_Toc2376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6"/>
      <w:bookmarkEnd w:id="77"/>
      <w:bookmarkEnd w:id="78"/>
      <w:bookmarkEnd w:id="79"/>
    </w:p>
    <w:p>
      <w:pPr>
        <w:pStyle w:val="24"/>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采用履约保函方式：履约担保。是指由担保机构为供应商交纳履约保证金向采购人或采购代理机构提供的保证担保。供应商未按采购合同履行约定义务的，由担保机构按照担保函约定履行支付履约保证金的责任。</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4"/>
        <w:numPr>
          <w:ilvl w:val="0"/>
          <w:numId w:val="2"/>
        </w:numPr>
        <w:spacing w:before="0" w:after="0" w:line="480" w:lineRule="auto"/>
        <w:jc w:val="center"/>
        <w:rPr>
          <w:rFonts w:ascii="宋体" w:hAnsi="宋体" w:eastAsia="宋体"/>
          <w:color w:val="auto"/>
          <w:highlight w:val="none"/>
        </w:rPr>
      </w:pPr>
      <w:bookmarkStart w:id="80" w:name="_Toc19464"/>
      <w:r>
        <w:rPr>
          <w:rFonts w:hint="eastAsia" w:ascii="宋体" w:hAnsi="宋体" w:eastAsia="宋体"/>
          <w:color w:val="auto"/>
          <w:highlight w:val="none"/>
        </w:rPr>
        <w:t>询问或质疑</w:t>
      </w:r>
      <w:bookmarkEnd w:id="80"/>
    </w:p>
    <w:p>
      <w:pPr>
        <w:pStyle w:val="5"/>
        <w:widowControl w:val="0"/>
        <w:overflowPunct w:val="0"/>
        <w:spacing w:before="0" w:after="0" w:line="240" w:lineRule="auto"/>
        <w:rPr>
          <w:rFonts w:ascii="宋体" w:hAnsi="宋体" w:eastAsia="宋体"/>
          <w:color w:val="auto"/>
          <w:sz w:val="21"/>
          <w:szCs w:val="21"/>
          <w:highlight w:val="none"/>
        </w:rPr>
      </w:pPr>
      <w:bookmarkStart w:id="81" w:name="_Toc27711"/>
      <w:r>
        <w:rPr>
          <w:rFonts w:hint="eastAsia" w:ascii="宋体" w:hAnsi="宋体" w:eastAsia="宋体"/>
          <w:color w:val="auto"/>
          <w:sz w:val="21"/>
          <w:szCs w:val="21"/>
          <w:highlight w:val="none"/>
        </w:rPr>
        <w:t>33.询问</w:t>
      </w:r>
      <w:bookmarkEnd w:id="81"/>
    </w:p>
    <w:p>
      <w:pPr>
        <w:pStyle w:val="24"/>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投标人对采购活动事项（</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82" w:name="_Toc18644"/>
      <w:r>
        <w:rPr>
          <w:rFonts w:hint="eastAsia" w:ascii="宋体" w:hAnsi="宋体" w:eastAsia="宋体"/>
          <w:color w:val="auto"/>
          <w:sz w:val="21"/>
          <w:szCs w:val="21"/>
          <w:highlight w:val="none"/>
        </w:rPr>
        <w:t>34.质疑</w:t>
      </w:r>
      <w:bookmarkEnd w:id="82"/>
    </w:p>
    <w:p>
      <w:pPr>
        <w:pStyle w:val="24"/>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的潜在供应商。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4"/>
        <w:numPr>
          <w:ilvl w:val="0"/>
          <w:numId w:val="2"/>
        </w:numPr>
        <w:spacing w:before="0" w:after="0" w:line="480" w:lineRule="auto"/>
        <w:jc w:val="center"/>
        <w:rPr>
          <w:rFonts w:ascii="宋体" w:hAnsi="宋体" w:eastAsia="宋体"/>
          <w:color w:val="auto"/>
          <w:highlight w:val="none"/>
        </w:rPr>
      </w:pPr>
      <w:bookmarkStart w:id="83" w:name="_Toc10071"/>
      <w:r>
        <w:rPr>
          <w:rFonts w:hint="eastAsia" w:ascii="宋体" w:hAnsi="宋体" w:eastAsia="宋体"/>
          <w:color w:val="auto"/>
          <w:highlight w:val="none"/>
        </w:rPr>
        <w:t>其他</w:t>
      </w:r>
      <w:bookmarkEnd w:id="83"/>
    </w:p>
    <w:p>
      <w:pPr>
        <w:pStyle w:val="5"/>
        <w:widowControl w:val="0"/>
        <w:overflowPunct w:val="0"/>
        <w:spacing w:before="0" w:after="0" w:line="240" w:lineRule="auto"/>
        <w:rPr>
          <w:rFonts w:ascii="宋体" w:hAnsi="宋体" w:eastAsia="宋体"/>
          <w:color w:val="auto"/>
          <w:sz w:val="21"/>
          <w:szCs w:val="21"/>
          <w:highlight w:val="none"/>
        </w:rPr>
      </w:pPr>
      <w:bookmarkStart w:id="84" w:name="_Toc27449"/>
      <w:r>
        <w:rPr>
          <w:rFonts w:hint="eastAsia" w:ascii="宋体" w:hAnsi="宋体" w:eastAsia="宋体"/>
          <w:color w:val="auto"/>
          <w:sz w:val="21"/>
          <w:szCs w:val="21"/>
          <w:highlight w:val="none"/>
        </w:rPr>
        <w:t>35.招标文件的解释权</w:t>
      </w:r>
      <w:bookmarkEnd w:id="84"/>
    </w:p>
    <w:p>
      <w:pPr>
        <w:pStyle w:val="24"/>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版本号：三方诚信201</w:t>
      </w:r>
      <w:r>
        <w:rPr>
          <w:rFonts w:hint="eastAsia" w:ascii="宋体" w:hAnsi="宋体" w:eastAsia="宋体"/>
          <w:color w:val="auto"/>
          <w:sz w:val="21"/>
          <w:szCs w:val="21"/>
          <w:highlight w:val="none"/>
          <w:lang w:val="en-US" w:eastAsia="zh-CN"/>
        </w:rPr>
        <w:t>90529</w:t>
      </w:r>
      <w:r>
        <w:rPr>
          <w:rFonts w:hint="eastAsia" w:ascii="宋体" w:hAnsi="宋体" w:eastAsia="宋体"/>
          <w:color w:val="auto"/>
          <w:sz w:val="21"/>
          <w:szCs w:val="21"/>
          <w:highlight w:val="none"/>
        </w:rPr>
        <w:t>。</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是根据国家有关法律、法规以及政府采购管理有关规定和参照国际惯例编制，解释权属本采购代理机构。</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3"/>
        <w:spacing w:before="0" w:after="0" w:line="240" w:lineRule="auto"/>
        <w:rPr>
          <w:color w:val="auto"/>
          <w:sz w:val="28"/>
          <w:szCs w:val="28"/>
          <w:highlight w:val="none"/>
        </w:rPr>
      </w:pPr>
      <w:bookmarkStart w:id="85" w:name="_Toc3263"/>
      <w:r>
        <w:rPr>
          <w:rFonts w:hint="eastAsia"/>
          <w:color w:val="auto"/>
          <w:sz w:val="28"/>
          <w:szCs w:val="28"/>
          <w:highlight w:val="none"/>
        </w:rPr>
        <w:t>第五部分 合同格式（仅供参考）</w:t>
      </w:r>
      <w:bookmarkEnd w:id="85"/>
      <w:bookmarkStart w:id="86" w:name="_Toc1534"/>
      <w:bookmarkStart w:id="87" w:name="_Toc21155"/>
      <w:bookmarkStart w:id="88" w:name="_Toc13430"/>
    </w:p>
    <w:p>
      <w:pPr>
        <w:pStyle w:val="4"/>
        <w:spacing w:before="0" w:after="0" w:line="240" w:lineRule="auto"/>
        <w:jc w:val="center"/>
        <w:rPr>
          <w:rFonts w:ascii="宋体" w:hAnsi="宋体" w:eastAsia="宋体" w:cs="宋体"/>
          <w:color w:val="auto"/>
          <w:highlight w:val="none"/>
        </w:rPr>
      </w:pPr>
      <w:bookmarkStart w:id="89" w:name="_Toc32348"/>
      <w:r>
        <w:rPr>
          <w:rFonts w:hint="eastAsia" w:ascii="宋体" w:hAnsi="宋体" w:eastAsia="宋体" w:cs="宋体"/>
          <w:color w:val="auto"/>
          <w:highlight w:val="none"/>
        </w:rPr>
        <w:t>合同格式</w:t>
      </w:r>
      <w:bookmarkEnd w:id="86"/>
      <w:bookmarkEnd w:id="87"/>
      <w:bookmarkEnd w:id="88"/>
      <w:bookmarkEnd w:id="89"/>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乙方：“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）进行采购，于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日通过公开招标，经评标委员会评定乙方</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为中标单位。为了保护甲、乙双方合法权益，根据《中华人民共和国</w:t>
      </w:r>
      <w:r>
        <w:rPr>
          <w:color w:val="auto"/>
          <w:highlight w:val="none"/>
        </w:rPr>
        <w:fldChar w:fldCharType="begin"/>
      </w:r>
      <w:r>
        <w:rPr>
          <w:color w:val="auto"/>
          <w:highlight w:val="none"/>
        </w:rPr>
        <w:instrText xml:space="preserve"> HYPERLINK "http://www.chinalawedu.com/web/23251/" \t "_blank" \o "合同法" </w:instrText>
      </w:r>
      <w:r>
        <w:rPr>
          <w:color w:val="auto"/>
          <w:highlight w:val="none"/>
        </w:rPr>
        <w:fldChar w:fldCharType="separate"/>
      </w:r>
      <w:r>
        <w:rPr>
          <w:rFonts w:hint="eastAsia" w:ascii="宋体" w:hAnsi="宋体" w:eastAsia="宋体"/>
          <w:color w:val="auto"/>
          <w:sz w:val="21"/>
          <w:szCs w:val="21"/>
          <w:highlight w:val="none"/>
        </w:rPr>
        <w:t>合同法</w:t>
      </w:r>
      <w:r>
        <w:rPr>
          <w:rFonts w:hint="eastAsia" w:ascii="宋体" w:hAnsi="宋体" w:eastAsia="宋体"/>
          <w:color w:val="auto"/>
          <w:sz w:val="21"/>
          <w:szCs w:val="21"/>
          <w:highlight w:val="none"/>
        </w:rPr>
        <w:fldChar w:fldCharType="end"/>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90"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2、合同总价：（人民币）大写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pStyle w:val="1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90"/>
    <w:p>
      <w:pPr>
        <w:spacing w:after="0" w:line="360" w:lineRule="auto"/>
        <w:ind w:firstLine="422" w:firstLineChars="200"/>
        <w:rPr>
          <w:rFonts w:ascii="宋体" w:hAnsi="宋体" w:eastAsia="宋体"/>
          <w:b/>
          <w:color w:val="auto"/>
          <w:sz w:val="21"/>
          <w:szCs w:val="21"/>
          <w:highlight w:val="none"/>
        </w:rPr>
      </w:pPr>
      <w:bookmarkStart w:id="91"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92" w:name="_Toc86481569"/>
      <w:r>
        <w:rPr>
          <w:rFonts w:hint="eastAsia" w:ascii="宋体" w:hAnsi="宋体" w:eastAsia="宋体"/>
          <w:b/>
          <w:color w:val="auto"/>
          <w:sz w:val="21"/>
          <w:szCs w:val="21"/>
          <w:highlight w:val="none"/>
        </w:rPr>
        <w:t>第十二条 合同生效</w:t>
      </w:r>
      <w:bookmarkEnd w:id="92"/>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91"/>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3"/>
        <w:spacing w:before="0" w:after="0" w:line="240" w:lineRule="auto"/>
        <w:rPr>
          <w:color w:val="auto"/>
          <w:sz w:val="28"/>
          <w:szCs w:val="28"/>
          <w:highlight w:val="none"/>
        </w:rPr>
      </w:pPr>
      <w:bookmarkStart w:id="93" w:name="_Toc3566"/>
      <w:r>
        <w:rPr>
          <w:rFonts w:hint="eastAsia"/>
          <w:color w:val="auto"/>
          <w:sz w:val="28"/>
          <w:szCs w:val="28"/>
          <w:highlight w:val="none"/>
        </w:rPr>
        <w:t>第六部分  附件－投标文件格式</w:t>
      </w:r>
      <w:bookmarkEnd w:id="93"/>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94" w:name="_Toc15661"/>
      <w:r>
        <w:rPr>
          <w:rFonts w:hint="eastAsia" w:ascii="宋体" w:hAnsi="宋体" w:eastAsia="宋体"/>
          <w:color w:val="auto"/>
          <w:sz w:val="21"/>
          <w:szCs w:val="21"/>
          <w:highlight w:val="none"/>
        </w:rPr>
        <w:t>附件1.投标文件目录</w:t>
      </w:r>
      <w:bookmarkEnd w:id="94"/>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5" w:name="_Toc13312"/>
      <w:r>
        <w:rPr>
          <w:rFonts w:hint="eastAsia" w:ascii="宋体" w:hAnsi="宋体" w:eastAsia="宋体"/>
          <w:color w:val="auto"/>
          <w:sz w:val="21"/>
          <w:szCs w:val="21"/>
          <w:highlight w:val="none"/>
        </w:rPr>
        <w:t>附件1-1 评分标准索引表</w:t>
      </w:r>
      <w:bookmarkEnd w:id="95"/>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numPr>
          <w:ilvl w:val="0"/>
          <w:numId w:val="7"/>
        </w:numPr>
        <w:kinsoku/>
        <w:wordWrap/>
        <w:overflowPunct/>
        <w:topLinePunct w:val="0"/>
        <w:autoSpaceDE/>
        <w:autoSpaceDN/>
        <w:bidi w:val="0"/>
        <w:adjustRightInd w:val="0"/>
        <w:snapToGrid w:val="0"/>
        <w:ind w:left="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textAlignment w:val="auto"/>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6" w:name="_Toc9857"/>
      <w:r>
        <w:rPr>
          <w:rFonts w:hint="eastAsia" w:ascii="宋体" w:hAnsi="宋体" w:eastAsia="宋体"/>
          <w:color w:val="auto"/>
          <w:sz w:val="21"/>
          <w:szCs w:val="21"/>
          <w:highlight w:val="none"/>
        </w:rPr>
        <w:t>附件2.投标书格式</w:t>
      </w:r>
      <w:bookmarkEnd w:id="96"/>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w:t>
      </w:r>
      <w:r>
        <w:rPr>
          <w:rFonts w:hint="eastAsia" w:ascii="宋体" w:hAnsi="宋体" w:eastAsia="宋体"/>
          <w:color w:val="auto"/>
          <w:sz w:val="21"/>
          <w:szCs w:val="21"/>
          <w:highlight w:val="none"/>
          <w:u w:val="single"/>
          <w:lang w:eastAsia="zh-CN"/>
        </w:rPr>
        <w:t>采购项目编号</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color w:val="auto"/>
          <w:sz w:val="21"/>
          <w:szCs w:val="21"/>
          <w:highlight w:val="none"/>
        </w:rPr>
        <w:t xml:space="preserve">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 xml:space="preserve">个日历日。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w:t>
      </w:r>
      <w:r>
        <w:rPr>
          <w:rFonts w:hint="eastAsia" w:ascii="宋体" w:hAnsi="宋体" w:eastAsia="宋体"/>
          <w:color w:val="auto"/>
          <w:sz w:val="21"/>
          <w:szCs w:val="21"/>
          <w:highlight w:val="none"/>
          <w:lang w:eastAsia="zh-CN"/>
        </w:rPr>
        <w:t>投标人邀请中所要求的</w:t>
      </w:r>
      <w:r>
        <w:rPr>
          <w:rFonts w:hint="eastAsia" w:ascii="宋体" w:hAnsi="宋体" w:eastAsia="宋体"/>
          <w:color w:val="auto"/>
          <w:sz w:val="21"/>
          <w:szCs w:val="21"/>
          <w:highlight w:val="none"/>
        </w:rPr>
        <w:t>资格条件，已清楚招标文件所有要求及有关规定；并承诺参加本次采购活动中，如有违法、违规、弄虚作假行为，所造成的损失、不良后果及法律责任，一律由我方承担；</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5"/>
        <w:widowControl w:val="0"/>
        <w:overflowPunct w:val="0"/>
        <w:spacing w:before="0" w:after="0" w:line="240" w:lineRule="auto"/>
        <w:rPr>
          <w:rFonts w:ascii="宋体" w:hAnsi="宋体" w:eastAsia="宋体"/>
          <w:color w:val="auto"/>
          <w:sz w:val="21"/>
          <w:szCs w:val="21"/>
          <w:highlight w:val="none"/>
        </w:rPr>
      </w:pPr>
      <w:bookmarkStart w:id="97" w:name="_Toc23548"/>
      <w:r>
        <w:rPr>
          <w:rFonts w:hint="eastAsia" w:ascii="宋体" w:hAnsi="宋体" w:eastAsia="宋体"/>
          <w:color w:val="auto"/>
          <w:sz w:val="21"/>
          <w:szCs w:val="21"/>
          <w:highlight w:val="none"/>
        </w:rPr>
        <w:t>附件3.开标一览表格式</w:t>
      </w:r>
      <w:bookmarkEnd w:id="97"/>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项目名称/包号</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714"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highlight w:val="none"/>
              </w:rPr>
            </w:pPr>
          </w:p>
        </w:tc>
        <w:tc>
          <w:tcPr>
            <w:tcW w:w="3085"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highlight w:val="none"/>
              </w:rPr>
            </w:pPr>
          </w:p>
        </w:tc>
        <w:tc>
          <w:tcPr>
            <w:tcW w:w="3262"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3、温馨提示：未按招标文件要求报价、填写开标一览表是导致投标人废标的常见问题，请投标人仔细填写，认真核对。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8" w:name="_Toc7877"/>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8"/>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r>
        <w:rPr>
          <w:rFonts w:hint="eastAsia" w:ascii="宋体" w:hAnsi="宋体" w:eastAsia="宋体"/>
          <w:color w:val="auto"/>
          <w:sz w:val="21"/>
          <w:szCs w:val="21"/>
          <w:highlight w:val="none"/>
        </w:rPr>
        <w:t xml:space="preserve">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4"/>
                <w:rFonts w:ascii="宋体" w:hAnsi="宋体" w:eastAsia="宋体" w:cs="宋体"/>
                <w:b/>
                <w:color w:val="auto"/>
                <w:sz w:val="21"/>
                <w:szCs w:val="21"/>
                <w:highlight w:val="none"/>
              </w:rPr>
            </w:pPr>
            <w:r>
              <w:rPr>
                <w:rStyle w:val="34"/>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34"/>
                <w:rFonts w:hint="eastAsia" w:ascii="宋体" w:hAnsi="宋体" w:eastAsia="宋体" w:cs="宋体"/>
                <w:b/>
                <w:color w:val="auto"/>
                <w:sz w:val="21"/>
                <w:szCs w:val="21"/>
                <w:highlight w:val="none"/>
              </w:rPr>
              <w:t>；</w:t>
            </w:r>
          </w:p>
          <w:p>
            <w:pPr>
              <w:tabs>
                <w:tab w:val="left" w:pos="284"/>
              </w:tabs>
              <w:spacing w:after="0"/>
              <w:rPr>
                <w:rStyle w:val="34"/>
                <w:rFonts w:ascii="宋体" w:hAnsi="宋体" w:eastAsia="宋体" w:cs="宋体"/>
                <w:b/>
                <w:color w:val="auto"/>
                <w:sz w:val="21"/>
                <w:szCs w:val="21"/>
                <w:highlight w:val="none"/>
              </w:rPr>
            </w:pPr>
            <w:r>
              <w:rPr>
                <w:rStyle w:val="34"/>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4"/>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4"/>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4"/>
                <w:rFonts w:ascii="宋体" w:hAnsi="宋体" w:eastAsia="宋体" w:cs="宋体"/>
                <w:b/>
                <w:color w:val="auto"/>
                <w:sz w:val="21"/>
                <w:szCs w:val="21"/>
                <w:highlight w:val="none"/>
              </w:rPr>
            </w:pPr>
            <w:r>
              <w:rPr>
                <w:rStyle w:val="34"/>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4"/>
                <w:rFonts w:ascii="宋体" w:hAnsi="宋体" w:eastAsia="宋体" w:cs="宋体"/>
                <w:b/>
                <w:color w:val="auto"/>
                <w:sz w:val="21"/>
                <w:szCs w:val="21"/>
                <w:highlight w:val="none"/>
              </w:rPr>
            </w:pPr>
            <w:r>
              <w:rPr>
                <w:rStyle w:val="34"/>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4"/>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9" w:name="_Toc20013"/>
      <w:r>
        <w:rPr>
          <w:rFonts w:hint="eastAsia" w:ascii="宋体" w:hAnsi="宋体" w:eastAsia="宋体"/>
          <w:color w:val="auto"/>
          <w:sz w:val="21"/>
          <w:szCs w:val="21"/>
          <w:highlight w:val="none"/>
        </w:rPr>
        <w:t>附件5. 法定代表人证明书格式</w:t>
      </w:r>
      <w:bookmarkEnd w:id="99"/>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2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三方诚信招标有限公司</w:t>
      </w:r>
      <w:r>
        <w:rPr>
          <w:rFonts w:hint="eastAsia" w:ascii="宋体" w:eastAsia="宋体"/>
          <w:color w:val="auto"/>
          <w:sz w:val="21"/>
          <w:szCs w:val="21"/>
          <w:highlight w:val="none"/>
        </w:rPr>
        <w:t>东莞分公司</w:t>
      </w:r>
    </w:p>
    <w:p>
      <w:pPr>
        <w:pStyle w:val="27"/>
        <w:spacing w:line="420" w:lineRule="atLeast"/>
        <w:ind w:firstLine="433"/>
        <w:rPr>
          <w:rFonts w:ascii="宋体" w:eastAsia="宋体"/>
          <w:color w:val="auto"/>
          <w:sz w:val="21"/>
          <w:szCs w:val="21"/>
          <w:highlight w:val="none"/>
        </w:rPr>
      </w:pPr>
    </w:p>
    <w:p>
      <w:pPr>
        <w:pStyle w:val="2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2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2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r>
        <w:rPr>
          <w:rFonts w:hint="eastAsia" w:ascii="宋体" w:eastAsia="宋体"/>
          <w:color w:val="auto"/>
          <w:sz w:val="21"/>
          <w:szCs w:val="21"/>
          <w:highlight w:val="none"/>
          <w:u w:val="single"/>
        </w:rPr>
        <w:t xml:space="preserve">                                      </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性别：</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年龄：</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r>
        <w:rPr>
          <w:rFonts w:hint="eastAsia" w:ascii="宋体" w:eastAsia="宋体"/>
          <w:color w:val="auto"/>
          <w:sz w:val="21"/>
          <w:szCs w:val="21"/>
          <w:highlight w:val="none"/>
          <w:u w:val="single"/>
        </w:rPr>
        <w:t xml:space="preserve">               </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2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r>
        <w:rPr>
          <w:rFonts w:hint="eastAsia" w:ascii="宋体" w:eastAsia="宋体"/>
          <w:color w:val="auto"/>
          <w:sz w:val="21"/>
          <w:szCs w:val="21"/>
          <w:highlight w:val="none"/>
          <w:u w:val="single"/>
        </w:rPr>
        <w:t xml:space="preserve">                              </w:t>
      </w:r>
    </w:p>
    <w:p>
      <w:pPr>
        <w:pStyle w:val="2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7"/>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100" w:name="_Toc13402"/>
      <w:r>
        <w:rPr>
          <w:rFonts w:hint="eastAsia" w:ascii="宋体" w:hAnsi="宋体" w:eastAsia="宋体"/>
          <w:color w:val="auto"/>
          <w:sz w:val="21"/>
          <w:szCs w:val="21"/>
          <w:highlight w:val="none"/>
        </w:rPr>
        <w:t>附件6.法定代表人授权书格式</w:t>
      </w:r>
      <w:bookmarkEnd w:id="100"/>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2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三方诚信招标有限公司</w:t>
      </w:r>
      <w:r>
        <w:rPr>
          <w:rFonts w:hint="eastAsia" w:ascii="宋体" w:eastAsia="宋体"/>
          <w:color w:val="auto"/>
          <w:sz w:val="21"/>
          <w:szCs w:val="21"/>
          <w:highlight w:val="none"/>
        </w:rPr>
        <w:t>东莞分公司</w:t>
      </w:r>
    </w:p>
    <w:p>
      <w:pPr>
        <w:pStyle w:val="27"/>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2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2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7"/>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7"/>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101" w:name="_Toc22486"/>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2" w:name="_Toc20880"/>
      <w:r>
        <w:rPr>
          <w:rFonts w:hint="eastAsia" w:ascii="宋体" w:hAnsi="宋体" w:eastAsia="宋体"/>
          <w:color w:val="auto"/>
          <w:sz w:val="21"/>
          <w:szCs w:val="21"/>
          <w:highlight w:val="none"/>
        </w:rPr>
        <w:t>附件7.资格申明</w:t>
      </w:r>
      <w:bookmarkEnd w:id="102"/>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2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三方诚信招标有限公司</w:t>
      </w:r>
      <w:r>
        <w:rPr>
          <w:rFonts w:hint="eastAsia" w:ascii="宋体" w:eastAsia="宋体"/>
          <w:color w:val="auto"/>
          <w:sz w:val="21"/>
          <w:szCs w:val="21"/>
          <w:highlight w:val="none"/>
        </w:rPr>
        <w:t>东莞分公司：</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lang w:eastAsia="zh-CN"/>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w:t>
      </w:r>
      <w:r>
        <w:rPr>
          <w:rFonts w:hint="eastAsia" w:ascii="宋体" w:hAnsi="宋体" w:eastAsia="宋体"/>
          <w:color w:val="auto"/>
          <w:sz w:val="21"/>
          <w:szCs w:val="21"/>
          <w:highlight w:val="none"/>
          <w:lang w:eastAsia="zh-CN"/>
        </w:rPr>
        <w:t>投标人邀请中所要求得</w:t>
      </w:r>
      <w:r>
        <w:rPr>
          <w:rFonts w:hint="eastAsia" w:ascii="宋体" w:hAnsi="宋体" w:eastAsia="宋体"/>
          <w:color w:val="auto"/>
          <w:sz w:val="21"/>
          <w:szCs w:val="21"/>
          <w:highlight w:val="none"/>
        </w:rPr>
        <w:t>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 xml:space="preserve">                        </w:t>
      </w: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3" w:name="_Toc17384"/>
      <w:r>
        <w:rPr>
          <w:rFonts w:hint="eastAsia" w:ascii="宋体" w:hAnsi="宋体" w:eastAsia="宋体"/>
          <w:color w:val="auto"/>
          <w:sz w:val="21"/>
          <w:szCs w:val="21"/>
          <w:highlight w:val="none"/>
        </w:rPr>
        <w:t>附件8.营业执照</w:t>
      </w:r>
      <w:bookmarkEnd w:id="103"/>
    </w:p>
    <w:p>
      <w:pPr>
        <w:jc w:val="center"/>
        <w:rPr>
          <w:rFonts w:ascii="黑体" w:eastAsia="黑体"/>
          <w:color w:val="auto"/>
          <w:sz w:val="28"/>
          <w:szCs w:val="28"/>
          <w:highlight w:val="none"/>
        </w:rPr>
      </w:pPr>
      <w:bookmarkStart w:id="104" w:name="_Toc4926"/>
      <w:bookmarkStart w:id="105" w:name="_Toc24210"/>
      <w:bookmarkStart w:id="106" w:name="_Toc17470"/>
      <w:bookmarkStart w:id="107" w:name="_Toc5919"/>
      <w:bookmarkStart w:id="108" w:name="_Toc1511"/>
      <w:r>
        <w:rPr>
          <w:rFonts w:hint="eastAsia" w:ascii="黑体" w:eastAsia="黑体"/>
          <w:color w:val="auto"/>
          <w:sz w:val="28"/>
          <w:szCs w:val="28"/>
          <w:highlight w:val="none"/>
        </w:rPr>
        <w:t>营业执照</w:t>
      </w:r>
      <w:bookmarkEnd w:id="104"/>
      <w:bookmarkEnd w:id="105"/>
      <w:bookmarkEnd w:id="106"/>
      <w:bookmarkEnd w:id="107"/>
      <w:bookmarkEnd w:id="108"/>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9" w:name="_Toc9057"/>
      <w:r>
        <w:rPr>
          <w:rFonts w:hint="eastAsia" w:ascii="宋体" w:hAnsi="宋体" w:eastAsia="宋体"/>
          <w:color w:val="auto"/>
          <w:sz w:val="21"/>
          <w:szCs w:val="21"/>
          <w:highlight w:val="none"/>
        </w:rPr>
        <w:t>附件9.相关资质证明文件</w:t>
      </w:r>
      <w:bookmarkEnd w:id="109"/>
    </w:p>
    <w:p>
      <w:pPr>
        <w:rPr>
          <w:color w:val="auto"/>
          <w:highlight w:val="none"/>
        </w:rPr>
      </w:pPr>
    </w:p>
    <w:p>
      <w:pPr>
        <w:jc w:val="center"/>
        <w:rPr>
          <w:rFonts w:ascii="黑体" w:eastAsia="黑体"/>
          <w:color w:val="auto"/>
          <w:sz w:val="28"/>
          <w:szCs w:val="28"/>
          <w:highlight w:val="none"/>
        </w:rPr>
      </w:pPr>
      <w:bookmarkStart w:id="110" w:name="_Toc9592"/>
      <w:bookmarkStart w:id="111" w:name="_Toc16233"/>
      <w:bookmarkStart w:id="112" w:name="_Toc30307"/>
      <w:bookmarkStart w:id="113" w:name="_Toc13458"/>
      <w:bookmarkStart w:id="114" w:name="_Toc16698"/>
      <w:r>
        <w:rPr>
          <w:rFonts w:hint="eastAsia" w:ascii="黑体" w:eastAsia="黑体"/>
          <w:color w:val="auto"/>
          <w:sz w:val="28"/>
          <w:szCs w:val="28"/>
          <w:highlight w:val="none"/>
        </w:rPr>
        <w:t>相关资质证明文件</w:t>
      </w:r>
      <w:bookmarkEnd w:id="101"/>
      <w:bookmarkEnd w:id="110"/>
      <w:bookmarkEnd w:id="111"/>
      <w:bookmarkEnd w:id="112"/>
      <w:bookmarkEnd w:id="113"/>
      <w:bookmarkEnd w:id="114"/>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5" w:name="_Toc25635"/>
      <w:r>
        <w:rPr>
          <w:rFonts w:hint="eastAsia" w:ascii="宋体" w:hAnsi="宋体" w:eastAsia="宋体"/>
          <w:color w:val="auto"/>
          <w:sz w:val="21"/>
          <w:szCs w:val="21"/>
          <w:highlight w:val="none"/>
        </w:rPr>
        <w:t>附件10. 商务条款偏离表格式</w:t>
      </w:r>
      <w:bookmarkEnd w:id="115"/>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2、商务条款包括但不限于合格投标人资格、付款方式、履约保证金、完工期、售后服务、检验及验收、保险、争端的解决等要求。</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3、投标人若未填写完整则视为完全响应招标文件的商务要求，因此</w:t>
      </w:r>
      <w:r>
        <w:rPr>
          <w:rFonts w:hint="eastAsia" w:ascii="宋体" w:hAnsi="宋体" w:eastAsia="宋体"/>
          <w:color w:val="auto"/>
          <w:sz w:val="21"/>
          <w:szCs w:val="21"/>
          <w:highlight w:val="none"/>
        </w:rPr>
        <w:t>对投标人投标产生负面影响的，投标人自行承担后果。</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6" w:name="_Toc15430"/>
      <w:r>
        <w:rPr>
          <w:rFonts w:hint="eastAsia" w:ascii="宋体" w:hAnsi="宋体" w:eastAsia="宋体"/>
          <w:color w:val="auto"/>
          <w:sz w:val="21"/>
          <w:szCs w:val="21"/>
          <w:highlight w:val="none"/>
        </w:rPr>
        <w:t>附件11. 技术规格偏离表格式</w:t>
      </w:r>
      <w:bookmarkEnd w:id="116"/>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3、投标人若未填写完整则视为完全响应招标文件的技术要求，因此</w:t>
      </w:r>
      <w:r>
        <w:rPr>
          <w:rFonts w:hint="eastAsia" w:ascii="宋体" w:hAnsi="宋体" w:eastAsia="宋体"/>
          <w:color w:val="auto"/>
          <w:sz w:val="21"/>
          <w:szCs w:val="21"/>
          <w:highlight w:val="none"/>
        </w:rPr>
        <w:t>对投标人投标产生负面影响的，投标人自行承担后果。</w:t>
      </w:r>
    </w:p>
    <w:p>
      <w:pPr>
        <w:spacing w:after="0" w:line="360" w:lineRule="auto"/>
        <w:rPr>
          <w:rFonts w:hint="eastAsia"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7" w:name="_Toc17691"/>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s="Times New Roman"/>
          <w:b w:val="0"/>
          <w:bCs w:val="0"/>
          <w:color w:val="auto"/>
          <w:sz w:val="32"/>
          <w:szCs w:val="32"/>
          <w:highlight w:val="none"/>
        </w:rPr>
      </w:pPr>
      <w:bookmarkStart w:id="118" w:name="_Toc31958"/>
      <w:r>
        <w:rPr>
          <w:rFonts w:hint="eastAsia" w:ascii="宋体" w:hAnsi="宋体" w:eastAsia="宋体"/>
          <w:color w:val="auto"/>
          <w:sz w:val="21"/>
          <w:szCs w:val="21"/>
          <w:highlight w:val="none"/>
        </w:rPr>
        <w:t>附件12.重要技术参数（▲）响应表</w:t>
      </w:r>
      <w:bookmarkEnd w:id="117"/>
      <w:bookmarkEnd w:id="118"/>
    </w:p>
    <w:p>
      <w:pPr>
        <w:jc w:val="center"/>
        <w:rPr>
          <w:rFonts w:ascii="黑体" w:eastAsia="黑体"/>
          <w:color w:val="auto"/>
          <w:sz w:val="28"/>
          <w:szCs w:val="28"/>
          <w:highlight w:val="none"/>
        </w:rPr>
      </w:pPr>
      <w:bookmarkStart w:id="119" w:name="_Toc6080"/>
      <w:bookmarkStart w:id="120" w:name="_Toc4827"/>
      <w:bookmarkStart w:id="121" w:name="_Toc18668"/>
      <w:bookmarkStart w:id="122" w:name="_Toc1274"/>
      <w:bookmarkStart w:id="123" w:name="_Toc4464"/>
      <w:bookmarkStart w:id="124" w:name="_Toc26078"/>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9"/>
      <w:bookmarkEnd w:id="120"/>
      <w:bookmarkEnd w:id="121"/>
      <w:bookmarkEnd w:id="122"/>
      <w:bookmarkEnd w:id="123"/>
      <w:bookmarkEnd w:id="124"/>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bookmarkStart w:id="125" w:name="_Toc10045"/>
            <w:bookmarkStart w:id="126" w:name="_Toc14815"/>
            <w:bookmarkStart w:id="127" w:name="_Toc27090"/>
            <w:bookmarkStart w:id="128" w:name="_Toc21739"/>
            <w:bookmarkStart w:id="129" w:name="_Toc15903"/>
            <w:bookmarkStart w:id="130" w:name="_Toc22448"/>
            <w:bookmarkStart w:id="131" w:name="_Toc16872"/>
            <w:bookmarkStart w:id="132" w:name="_Toc12049"/>
            <w:bookmarkStart w:id="133" w:name="_Toc2700"/>
            <w:r>
              <w:rPr>
                <w:rFonts w:hint="eastAsia" w:ascii="宋体" w:hAnsi="宋体" w:eastAsia="宋体" w:cs="Times New Roman"/>
                <w:color w:val="auto"/>
                <w:sz w:val="21"/>
                <w:szCs w:val="21"/>
                <w:highlight w:val="none"/>
              </w:rPr>
              <w:t>技术参数（▲）</w:t>
            </w:r>
            <w:bookmarkEnd w:id="125"/>
            <w:bookmarkEnd w:id="126"/>
            <w:bookmarkEnd w:id="127"/>
            <w:bookmarkEnd w:id="128"/>
            <w:bookmarkEnd w:id="129"/>
            <w:bookmarkEnd w:id="130"/>
            <w:bookmarkEnd w:id="131"/>
            <w:bookmarkEnd w:id="132"/>
            <w:bookmarkEnd w:id="133"/>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bookmarkStart w:id="134" w:name="_Toc22879"/>
            <w:bookmarkStart w:id="135" w:name="_Toc19251"/>
            <w:bookmarkStart w:id="136" w:name="_Toc7333"/>
            <w:bookmarkStart w:id="137" w:name="_Toc8490"/>
            <w:bookmarkStart w:id="138" w:name="_Toc32531"/>
            <w:bookmarkStart w:id="139" w:name="_Toc21809"/>
            <w:bookmarkStart w:id="140" w:name="_Toc8312"/>
            <w:bookmarkStart w:id="141" w:name="_Toc27442"/>
            <w:bookmarkStart w:id="142" w:name="_Toc24662"/>
            <w:r>
              <w:rPr>
                <w:rFonts w:hint="eastAsia" w:ascii="宋体" w:hAnsi="宋体" w:eastAsia="宋体" w:cs="Times New Roman"/>
                <w:color w:val="auto"/>
                <w:sz w:val="21"/>
                <w:szCs w:val="21"/>
                <w:highlight w:val="none"/>
              </w:rPr>
              <w:t>是否响应</w:t>
            </w:r>
            <w:bookmarkEnd w:id="134"/>
            <w:bookmarkEnd w:id="135"/>
            <w:bookmarkEnd w:id="136"/>
            <w:bookmarkEnd w:id="137"/>
            <w:bookmarkEnd w:id="138"/>
            <w:bookmarkEnd w:id="139"/>
            <w:bookmarkEnd w:id="140"/>
            <w:bookmarkEnd w:id="141"/>
            <w:bookmarkEnd w:id="142"/>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bookmarkStart w:id="143" w:name="_Toc5563"/>
            <w:bookmarkStart w:id="144" w:name="_Toc20139"/>
            <w:bookmarkStart w:id="145" w:name="_Toc17642"/>
            <w:bookmarkStart w:id="146" w:name="_Toc20820"/>
            <w:bookmarkStart w:id="147" w:name="_Toc27185"/>
            <w:bookmarkStart w:id="148" w:name="_Toc17296"/>
            <w:bookmarkStart w:id="149" w:name="_Toc5992"/>
            <w:bookmarkStart w:id="150" w:name="_Toc3701"/>
            <w:bookmarkStart w:id="151" w:name="_Toc1330"/>
            <w:r>
              <w:rPr>
                <w:rFonts w:hint="eastAsia" w:ascii="宋体" w:hAnsi="宋体" w:eastAsia="宋体" w:cs="Times New Roman"/>
                <w:color w:val="auto"/>
                <w:sz w:val="21"/>
                <w:szCs w:val="21"/>
                <w:highlight w:val="none"/>
              </w:rPr>
              <w:t>页码范围</w:t>
            </w:r>
            <w:bookmarkEnd w:id="143"/>
            <w:bookmarkEnd w:id="144"/>
            <w:bookmarkEnd w:id="145"/>
            <w:bookmarkEnd w:id="146"/>
            <w:bookmarkEnd w:id="147"/>
            <w:bookmarkEnd w:id="148"/>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bl>
    <w:p>
      <w:pPr>
        <w:pStyle w:val="24"/>
        <w:spacing w:after="0" w:line="360" w:lineRule="auto"/>
        <w:rPr>
          <w:rFonts w:ascii="宋体" w:hAnsi="宋体" w:eastAsia="宋体"/>
          <w:color w:val="auto"/>
          <w:sz w:val="21"/>
          <w:szCs w:val="21"/>
          <w:highlight w:val="none"/>
        </w:rPr>
      </w:pPr>
    </w:p>
    <w:p>
      <w:pPr>
        <w:pStyle w:val="24"/>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4"/>
        <w:numPr>
          <w:ilvl w:val="0"/>
          <w:numId w:val="9"/>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4"/>
        <w:numPr>
          <w:ilvl w:val="0"/>
          <w:numId w:val="9"/>
        </w:numPr>
        <w:spacing w:after="0" w:line="360" w:lineRule="auto"/>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rPr>
        <w:t>投标人可按项目的实际需要提供本表格。</w:t>
      </w:r>
      <w:r>
        <w:rPr>
          <w:rFonts w:hint="eastAsia" w:ascii="宋体" w:hAnsi="宋体" w:eastAsia="宋体"/>
          <w:b/>
          <w:bCs/>
          <w:color w:val="auto"/>
          <w:sz w:val="21"/>
          <w:szCs w:val="21"/>
          <w:highlight w:val="none"/>
          <w:lang w:eastAsia="zh-CN"/>
        </w:rPr>
        <w:t>招标文件内未涉及▲参数的，此表可以不用提供。</w:t>
      </w:r>
    </w:p>
    <w:p>
      <w:pPr>
        <w:pStyle w:val="24"/>
        <w:numPr>
          <w:ilvl w:val="0"/>
          <w:numId w:val="9"/>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4"/>
        <w:numPr>
          <w:ilvl w:val="0"/>
          <w:numId w:val="9"/>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4"/>
        <w:numPr>
          <w:ilvl w:val="0"/>
          <w:numId w:val="9"/>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30"/>
          <w:szCs w:val="30"/>
          <w:highlight w:val="none"/>
        </w:rPr>
      </w:pPr>
      <w:bookmarkStart w:id="152" w:name="_Toc26041"/>
      <w:r>
        <w:rPr>
          <w:rFonts w:hint="eastAsia" w:ascii="宋体" w:hAnsi="宋体" w:eastAsia="宋体"/>
          <w:color w:val="auto"/>
          <w:sz w:val="21"/>
          <w:szCs w:val="21"/>
          <w:highlight w:val="none"/>
        </w:rPr>
        <w:t>附件13.业绩表</w:t>
      </w:r>
      <w:bookmarkEnd w:id="152"/>
    </w:p>
    <w:p>
      <w:pPr>
        <w:jc w:val="center"/>
        <w:rPr>
          <w:rFonts w:hint="eastAsia" w:ascii="黑体" w:eastAsia="黑体"/>
          <w:color w:val="auto"/>
          <w:sz w:val="28"/>
          <w:szCs w:val="28"/>
          <w:highlight w:val="none"/>
        </w:rPr>
      </w:pPr>
      <w:r>
        <w:rPr>
          <w:rFonts w:hint="eastAsia" w:ascii="黑体" w:eastAsia="黑体"/>
          <w:color w:val="auto"/>
          <w:sz w:val="28"/>
          <w:szCs w:val="28"/>
          <w:highlight w:val="none"/>
        </w:rPr>
        <w:t>业绩表</w:t>
      </w:r>
    </w:p>
    <w:tbl>
      <w:tblPr>
        <w:tblStyle w:val="1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auto"/>
                <w:sz w:val="21"/>
                <w:szCs w:val="21"/>
                <w:highlight w:val="none"/>
              </w:rPr>
            </w:pPr>
          </w:p>
        </w:tc>
        <w:tc>
          <w:tcPr>
            <w:tcW w:w="1705" w:type="dxa"/>
            <w:vAlign w:val="center"/>
          </w:tcPr>
          <w:p>
            <w:pPr>
              <w:adjustRightInd/>
              <w:snapToGrid/>
              <w:spacing w:after="0"/>
              <w:jc w:val="center"/>
              <w:rPr>
                <w:rFonts w:hint="eastAsia" w:ascii="宋体" w:hAnsi="宋体" w:eastAsia="宋体"/>
                <w:color w:val="auto"/>
                <w:sz w:val="21"/>
                <w:szCs w:val="21"/>
                <w:highlight w:val="none"/>
              </w:rPr>
            </w:pPr>
          </w:p>
        </w:tc>
        <w:tc>
          <w:tcPr>
            <w:tcW w:w="1706" w:type="dxa"/>
            <w:vAlign w:val="center"/>
          </w:tcPr>
          <w:p>
            <w:pPr>
              <w:adjustRightInd/>
              <w:snapToGrid/>
              <w:spacing w:after="0"/>
              <w:jc w:val="center"/>
              <w:rPr>
                <w:rFonts w:hint="eastAsia" w:ascii="宋体" w:hAnsi="宋体" w:eastAsia="宋体"/>
                <w:color w:val="auto"/>
                <w:sz w:val="21"/>
                <w:szCs w:val="21"/>
                <w:highlight w:val="none"/>
              </w:rPr>
            </w:pPr>
          </w:p>
        </w:tc>
        <w:tc>
          <w:tcPr>
            <w:tcW w:w="1705" w:type="dxa"/>
            <w:vAlign w:val="center"/>
          </w:tcPr>
          <w:p>
            <w:pPr>
              <w:adjustRightInd/>
              <w:snapToGrid/>
              <w:spacing w:after="0"/>
              <w:jc w:val="center"/>
              <w:rPr>
                <w:rFonts w:hint="eastAsia" w:ascii="宋体" w:hAnsi="宋体" w:eastAsia="宋体"/>
                <w:color w:val="auto"/>
                <w:sz w:val="21"/>
                <w:szCs w:val="21"/>
                <w:highlight w:val="none"/>
              </w:rPr>
            </w:pPr>
          </w:p>
        </w:tc>
        <w:tc>
          <w:tcPr>
            <w:tcW w:w="1697" w:type="dxa"/>
            <w:vAlign w:val="center"/>
          </w:tcPr>
          <w:p>
            <w:pPr>
              <w:adjustRightInd/>
              <w:snapToGrid/>
              <w:spacing w:after="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4"/>
        <w:spacing w:after="0"/>
        <w:rPr>
          <w:rFonts w:ascii="宋体" w:hAnsi="宋体" w:eastAsia="宋体"/>
          <w:color w:val="auto"/>
          <w:sz w:val="21"/>
          <w:szCs w:val="21"/>
          <w:highlight w:val="none"/>
        </w:rPr>
      </w:pPr>
    </w:p>
    <w:p>
      <w:pPr>
        <w:pStyle w:val="24"/>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4"/>
        <w:keepNext w:val="0"/>
        <w:keepLines w:val="0"/>
        <w:pageBreakBefore w:val="0"/>
        <w:widowControl/>
        <w:numPr>
          <w:ilvl w:val="0"/>
          <w:numId w:val="10"/>
        </w:numPr>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4"/>
        <w:keepNext w:val="0"/>
        <w:keepLines w:val="0"/>
        <w:pageBreakBefore w:val="0"/>
        <w:widowControl/>
        <w:numPr>
          <w:ilvl w:val="0"/>
          <w:numId w:val="10"/>
        </w:numPr>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4"/>
        <w:numPr>
          <w:ilvl w:val="0"/>
          <w:numId w:val="10"/>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3" w:name="_Toc11366"/>
      <w:r>
        <w:rPr>
          <w:rFonts w:hint="eastAsia" w:ascii="宋体" w:hAnsi="宋体" w:eastAsia="宋体"/>
          <w:color w:val="auto"/>
          <w:sz w:val="21"/>
          <w:szCs w:val="21"/>
          <w:highlight w:val="none"/>
        </w:rPr>
        <w:t>附件14. 项目实施方案格式</w:t>
      </w:r>
      <w:bookmarkEnd w:id="153"/>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4" w:name="_Toc9262"/>
      <w:r>
        <w:rPr>
          <w:rFonts w:hint="eastAsia" w:ascii="宋体" w:hAnsi="宋体" w:eastAsia="宋体"/>
          <w:color w:val="auto"/>
          <w:sz w:val="21"/>
          <w:szCs w:val="21"/>
          <w:highlight w:val="none"/>
        </w:rPr>
        <w:t>附件15. 实施本项目的有关人员资料表格式</w:t>
      </w:r>
      <w:bookmarkEnd w:id="154"/>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7"/>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hint="eastAsia"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4"/>
        <w:numPr>
          <w:ilvl w:val="0"/>
          <w:numId w:val="1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投标人可按项目的实际需要提供本表格。</w:t>
      </w:r>
    </w:p>
    <w:p>
      <w:pPr>
        <w:pStyle w:val="24"/>
        <w:numPr>
          <w:ilvl w:val="0"/>
          <w:numId w:val="11"/>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spacing w:after="0" w:line="360" w:lineRule="auto"/>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val="en-US" w:eastAsia="zh-CN"/>
        </w:rPr>
        <w:t>3、投标人若未提供或未填写完整则视为完全响应招标文件的人员要求，因此</w:t>
      </w:r>
      <w:r>
        <w:rPr>
          <w:rFonts w:hint="eastAsia" w:ascii="宋体" w:hAnsi="宋体" w:eastAsia="宋体"/>
          <w:color w:val="auto"/>
          <w:sz w:val="21"/>
          <w:szCs w:val="21"/>
          <w:highlight w:val="none"/>
        </w:rPr>
        <w:t>对投标人投标产生负面影响的，投标人自行承担后果。</w:t>
      </w:r>
    </w:p>
    <w:p>
      <w:pPr>
        <w:pStyle w:val="24"/>
        <w:numPr>
          <w:ilvl w:val="0"/>
          <w:numId w:val="11"/>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5" w:name="_Toc30553"/>
      <w:r>
        <w:rPr>
          <w:rFonts w:hint="eastAsia" w:ascii="宋体" w:hAnsi="宋体" w:eastAsia="宋体"/>
          <w:color w:val="auto"/>
          <w:sz w:val="21"/>
          <w:szCs w:val="21"/>
          <w:highlight w:val="none"/>
        </w:rPr>
        <w:t>附件16.投标货物说明一览表格式</w:t>
      </w:r>
      <w:bookmarkEnd w:id="155"/>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4"/>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4"/>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4"/>
        <w:ind w:firstLine="0" w:firstLineChars="0"/>
        <w:rPr>
          <w:rFonts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3、如本项目不涉及此表内容，则无需提供此表。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6" w:name="_Toc13438"/>
      <w:r>
        <w:rPr>
          <w:rFonts w:hint="eastAsia" w:ascii="宋体" w:hAnsi="宋体" w:eastAsia="宋体"/>
          <w:color w:val="auto"/>
          <w:sz w:val="21"/>
          <w:szCs w:val="21"/>
          <w:highlight w:val="none"/>
        </w:rPr>
        <w:t>附件17.在经营活动中没有重大违法记录的书面声明格式</w:t>
      </w:r>
      <w:bookmarkEnd w:id="15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w:t>
      </w:r>
      <w:r>
        <w:rPr>
          <w:rFonts w:hint="eastAsia" w:ascii="黑体" w:eastAsia="黑体"/>
          <w:color w:val="auto"/>
          <w:sz w:val="28"/>
          <w:szCs w:val="28"/>
          <w:highlight w:val="none"/>
          <w:lang w:eastAsia="zh-CN"/>
        </w:rPr>
        <w:t>经营活动中前三年内</w:t>
      </w:r>
      <w:r>
        <w:rPr>
          <w:rFonts w:hint="eastAsia" w:ascii="黑体" w:eastAsia="黑体"/>
          <w:color w:val="auto"/>
          <w:sz w:val="28"/>
          <w:szCs w:val="28"/>
          <w:highlight w:val="none"/>
        </w:rPr>
        <w:t>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三方诚信招标有限公司</w:t>
      </w:r>
      <w:r>
        <w:rPr>
          <w:rFonts w:hint="eastAsia" w:ascii="宋体" w:hAnsi="宋体" w:eastAsia="宋体" w:cs="宋体"/>
          <w:color w:val="auto"/>
          <w:sz w:val="21"/>
          <w:szCs w:val="21"/>
          <w:highlight w:val="none"/>
        </w:rPr>
        <w:t>东莞分公司：</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bookmarkStart w:id="157" w:name="_Toc417907703"/>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158" w:name="_Toc26259"/>
      <w:r>
        <w:rPr>
          <w:rFonts w:hint="eastAsia" w:ascii="宋体" w:hAnsi="宋体" w:eastAsia="宋体"/>
          <w:color w:val="auto"/>
          <w:sz w:val="21"/>
          <w:szCs w:val="21"/>
          <w:highlight w:val="none"/>
        </w:rPr>
        <w:t>附件18. 中小企业声明函（投标人为中小企业时适用）</w:t>
      </w:r>
      <w:bookmarkEnd w:id="157"/>
      <w:bookmarkEnd w:id="158"/>
    </w:p>
    <w:p>
      <w:pPr>
        <w:jc w:val="center"/>
        <w:rPr>
          <w:rFonts w:ascii="微软雅黑" w:hAnsi="微软雅黑" w:cs="微软雅黑"/>
          <w:b/>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本公司郑重声明，根据《政府采购促进中小企业发展暂行办法》（财库[2011]181号）的规定，本公司为</w:t>
      </w:r>
      <w:r>
        <w:rPr>
          <w:rFonts w:hint="eastAsia" w:ascii="宋体" w:hAnsi="宋体" w:eastAsia="宋体"/>
          <w:color w:val="auto"/>
          <w:sz w:val="21"/>
          <w:szCs w:val="21"/>
          <w:highlight w:val="none"/>
          <w:u w:val="single"/>
        </w:rPr>
        <w:t>　（请填写：中型、小型、微型）　</w:t>
      </w:r>
      <w:r>
        <w:rPr>
          <w:rFonts w:hint="eastAsia" w:ascii="宋体" w:hAnsi="宋体" w:eastAsia="宋体"/>
          <w:color w:val="auto"/>
          <w:sz w:val="21"/>
          <w:szCs w:val="21"/>
          <w:highlight w:val="none"/>
        </w:rPr>
        <w:t>企业。即，本公司同时满足以下条件：</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olor w:val="auto"/>
          <w:sz w:val="21"/>
          <w:szCs w:val="21"/>
          <w:highlight w:val="none"/>
          <w:u w:val="single"/>
        </w:rPr>
        <w:t>　（请填写：中型、小型、微型）　</w:t>
      </w:r>
      <w:r>
        <w:rPr>
          <w:rFonts w:hint="eastAsia" w:ascii="宋体" w:hAnsi="宋体" w:eastAsia="宋体"/>
          <w:color w:val="auto"/>
          <w:sz w:val="21"/>
          <w:szCs w:val="21"/>
          <w:highlight w:val="none"/>
        </w:rPr>
        <w:t>企业。</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2、本公司参加</w:t>
      </w:r>
      <w:r>
        <w:rPr>
          <w:rFonts w:hint="eastAsia" w:ascii="宋体" w:hAnsi="宋体" w:eastAsia="宋体"/>
          <w:color w:val="auto"/>
          <w:sz w:val="21"/>
          <w:szCs w:val="21"/>
          <w:highlight w:val="none"/>
          <w:u w:val="single"/>
        </w:rPr>
        <w:t>　　（采购人）　　</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u w:val="single"/>
        </w:rPr>
        <w:t>　　（采购项目）　　</w:t>
      </w:r>
      <w:r>
        <w:rPr>
          <w:rFonts w:hint="eastAsia" w:ascii="宋体" w:hAnsi="宋体" w:eastAsia="宋体"/>
          <w:color w:val="auto"/>
          <w:sz w:val="21"/>
          <w:szCs w:val="21"/>
          <w:highlight w:val="none"/>
        </w:rPr>
        <w:t>采购活动提供本企业制造的货物，由本企业承担工程、提供服务，或者提供其他</w:t>
      </w:r>
      <w:r>
        <w:rPr>
          <w:rFonts w:hint="eastAsia" w:ascii="宋体" w:hAnsi="宋体" w:eastAsia="宋体"/>
          <w:color w:val="auto"/>
          <w:sz w:val="21"/>
          <w:szCs w:val="21"/>
          <w:highlight w:val="none"/>
          <w:u w:val="single"/>
        </w:rPr>
        <w:t>　（请填写：中型、小型、微型）　</w:t>
      </w:r>
      <w:r>
        <w:rPr>
          <w:rFonts w:hint="eastAsia" w:ascii="宋体" w:hAnsi="宋体" w:eastAsia="宋体"/>
          <w:color w:val="auto"/>
          <w:sz w:val="21"/>
          <w:szCs w:val="21"/>
          <w:highlight w:val="none"/>
        </w:rPr>
        <w:t>企业制造的货物。本条所称货物不包括使用大型企业注册商标的货物。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投标人名称（加盖公章）：</w:t>
      </w: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关于印发中小企业划型标准规定的通知》（工信部联企业[2011]300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2、若投标人不属于规定的中小企业范围，或提供的产品不是中小企业制造的，请勿提交。</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9" w:name="_Toc11132"/>
      <w:r>
        <w:rPr>
          <w:rFonts w:hint="eastAsia" w:ascii="宋体" w:hAnsi="宋体" w:eastAsia="宋体"/>
          <w:color w:val="auto"/>
          <w:sz w:val="21"/>
          <w:szCs w:val="21"/>
          <w:highlight w:val="none"/>
        </w:rPr>
        <w:t>附件19.《残疾人福利性单位声明函》（残疾人福利性单位适用）</w:t>
      </w:r>
      <w:bookmarkEnd w:id="159"/>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60" w:name="_Toc508898066"/>
      <w:bookmarkStart w:id="161" w:name="_Toc30277"/>
      <w:bookmarkStart w:id="162" w:name="_Toc22970"/>
      <w:bookmarkStart w:id="163" w:name="_Toc508960153"/>
      <w:bookmarkStart w:id="164" w:name="_Toc508958703"/>
      <w:bookmarkStart w:id="165" w:name="_Toc509479530"/>
      <w:bookmarkStart w:id="166" w:name="_Toc509844825"/>
      <w:bookmarkStart w:id="167" w:name="_Toc30247"/>
      <w:bookmarkStart w:id="168" w:name="_Toc509927455"/>
      <w:bookmarkStart w:id="169" w:name="_Toc17761"/>
      <w:bookmarkStart w:id="170" w:name="_Toc20910"/>
      <w:bookmarkStart w:id="171" w:name="_Toc510171693"/>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60"/>
      <w:bookmarkEnd w:id="161"/>
      <w:bookmarkEnd w:id="162"/>
      <w:bookmarkEnd w:id="163"/>
      <w:bookmarkEnd w:id="164"/>
      <w:bookmarkEnd w:id="165"/>
      <w:bookmarkEnd w:id="166"/>
      <w:bookmarkEnd w:id="167"/>
      <w:bookmarkEnd w:id="168"/>
      <w:bookmarkEnd w:id="169"/>
      <w:bookmarkEnd w:id="170"/>
      <w:bookmarkEnd w:id="171"/>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2" w:name="_Toc509479531"/>
      <w:bookmarkStart w:id="173" w:name="_Toc508960154"/>
      <w:bookmarkStart w:id="174" w:name="_Toc31520"/>
      <w:bookmarkStart w:id="175" w:name="_Toc509927456"/>
      <w:bookmarkStart w:id="176" w:name="_Toc508958704"/>
      <w:bookmarkStart w:id="177" w:name="_Toc509844826"/>
      <w:bookmarkStart w:id="178" w:name="_Toc26216"/>
      <w:bookmarkStart w:id="179" w:name="_Toc21053"/>
      <w:bookmarkStart w:id="180" w:name="_Toc28527"/>
      <w:bookmarkStart w:id="181" w:name="_Toc510171694"/>
      <w:bookmarkStart w:id="182" w:name="_Toc5447"/>
      <w:bookmarkStart w:id="183" w:name="_Toc508898067"/>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2"/>
      <w:bookmarkEnd w:id="173"/>
      <w:bookmarkEnd w:id="174"/>
      <w:bookmarkEnd w:id="175"/>
      <w:bookmarkEnd w:id="176"/>
      <w:bookmarkEnd w:id="177"/>
      <w:bookmarkEnd w:id="178"/>
      <w:bookmarkEnd w:id="179"/>
      <w:bookmarkEnd w:id="180"/>
      <w:bookmarkEnd w:id="181"/>
      <w:bookmarkEnd w:id="182"/>
      <w:bookmarkEnd w:id="183"/>
    </w:p>
    <w:p>
      <w:pPr>
        <w:spacing w:after="0" w:line="480" w:lineRule="auto"/>
        <w:ind w:firstLine="420" w:firstLineChars="200"/>
        <w:rPr>
          <w:rFonts w:ascii="宋体" w:hAnsi="宋体" w:eastAsia="宋体"/>
          <w:color w:val="auto"/>
          <w:sz w:val="21"/>
          <w:szCs w:val="21"/>
          <w:highlight w:val="none"/>
        </w:rPr>
      </w:pPr>
      <w:bookmarkStart w:id="184" w:name="_Toc509844827"/>
      <w:bookmarkStart w:id="185" w:name="_Toc508958705"/>
      <w:bookmarkStart w:id="186" w:name="_Toc509927457"/>
      <w:bookmarkStart w:id="187" w:name="_Toc508960155"/>
      <w:bookmarkStart w:id="188" w:name="_Toc28126"/>
      <w:bookmarkStart w:id="189" w:name="_Toc510171695"/>
      <w:bookmarkStart w:id="190" w:name="_Toc24848"/>
      <w:bookmarkStart w:id="191" w:name="_Toc9148"/>
      <w:bookmarkStart w:id="192" w:name="_Toc28626"/>
      <w:bookmarkStart w:id="193" w:name="_Toc508898068"/>
      <w:bookmarkStart w:id="194" w:name="_Toc509479532"/>
      <w:bookmarkStart w:id="195" w:name="_Toc14653"/>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4"/>
      <w:bookmarkEnd w:id="185"/>
      <w:bookmarkEnd w:id="186"/>
      <w:bookmarkEnd w:id="187"/>
      <w:bookmarkEnd w:id="188"/>
      <w:bookmarkEnd w:id="189"/>
      <w:bookmarkEnd w:id="190"/>
      <w:bookmarkEnd w:id="191"/>
      <w:bookmarkEnd w:id="192"/>
      <w:bookmarkEnd w:id="193"/>
      <w:bookmarkEnd w:id="194"/>
      <w:bookmarkEnd w:id="195"/>
    </w:p>
    <w:p>
      <w:pPr>
        <w:spacing w:after="0" w:line="480" w:lineRule="auto"/>
        <w:ind w:firstLine="420" w:firstLineChars="200"/>
        <w:rPr>
          <w:rFonts w:ascii="宋体" w:hAnsi="宋体" w:eastAsia="宋体"/>
          <w:color w:val="auto"/>
          <w:sz w:val="21"/>
          <w:szCs w:val="21"/>
          <w:highlight w:val="none"/>
        </w:rPr>
      </w:pPr>
      <w:bookmarkStart w:id="196" w:name="_Toc509927458"/>
      <w:bookmarkStart w:id="197" w:name="_Toc508958706"/>
      <w:bookmarkStart w:id="198" w:name="_Toc509844828"/>
      <w:bookmarkStart w:id="199" w:name="_Toc7858"/>
      <w:bookmarkStart w:id="200" w:name="_Toc508960156"/>
      <w:bookmarkStart w:id="201" w:name="_Toc9837"/>
      <w:bookmarkStart w:id="202" w:name="_Toc509479533"/>
      <w:bookmarkStart w:id="203" w:name="_Toc22981"/>
      <w:bookmarkStart w:id="204" w:name="_Toc28044"/>
      <w:bookmarkStart w:id="205" w:name="_Toc508898069"/>
      <w:bookmarkStart w:id="206" w:name="_Toc28686"/>
      <w:bookmarkStart w:id="207" w:name="_Toc510171696"/>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6"/>
      <w:bookmarkEnd w:id="197"/>
      <w:bookmarkEnd w:id="198"/>
      <w:bookmarkEnd w:id="199"/>
      <w:bookmarkEnd w:id="200"/>
      <w:bookmarkEnd w:id="201"/>
      <w:bookmarkEnd w:id="202"/>
      <w:bookmarkEnd w:id="203"/>
      <w:bookmarkEnd w:id="204"/>
      <w:bookmarkEnd w:id="205"/>
      <w:bookmarkEnd w:id="206"/>
      <w:bookmarkEnd w:id="207"/>
    </w:p>
    <w:p>
      <w:pPr>
        <w:spacing w:after="0" w:line="480" w:lineRule="auto"/>
        <w:ind w:firstLine="420" w:firstLineChars="200"/>
        <w:rPr>
          <w:rFonts w:ascii="宋体" w:hAnsi="宋体" w:eastAsia="宋体"/>
          <w:color w:val="auto"/>
          <w:sz w:val="21"/>
          <w:szCs w:val="21"/>
          <w:highlight w:val="none"/>
        </w:rPr>
      </w:pPr>
      <w:bookmarkStart w:id="208" w:name="_Toc5289"/>
      <w:bookmarkStart w:id="209" w:name="_Toc510171697"/>
      <w:bookmarkStart w:id="210" w:name="_Toc509927459"/>
      <w:bookmarkStart w:id="211" w:name="_Toc508960157"/>
      <w:bookmarkStart w:id="212" w:name="_Toc509844829"/>
      <w:bookmarkStart w:id="213" w:name="_Toc509479534"/>
      <w:bookmarkStart w:id="214" w:name="_Toc508898070"/>
      <w:bookmarkStart w:id="215" w:name="_Toc18843"/>
      <w:bookmarkStart w:id="216" w:name="_Toc50895870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8"/>
      <w:bookmarkEnd w:id="209"/>
      <w:bookmarkEnd w:id="210"/>
      <w:bookmarkEnd w:id="211"/>
      <w:bookmarkEnd w:id="212"/>
      <w:bookmarkEnd w:id="213"/>
      <w:bookmarkEnd w:id="214"/>
      <w:bookmarkEnd w:id="215"/>
      <w:bookmarkEnd w:id="216"/>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5"/>
        <w:widowControl w:val="0"/>
        <w:overflowPunct w:val="0"/>
        <w:spacing w:before="0" w:after="0" w:line="240" w:lineRule="auto"/>
        <w:rPr>
          <w:color w:val="auto"/>
          <w:highlight w:val="none"/>
        </w:rPr>
      </w:pPr>
      <w:bookmarkStart w:id="217" w:name="_Toc17460"/>
      <w:r>
        <w:rPr>
          <w:rFonts w:hint="eastAsia" w:ascii="宋体" w:hAnsi="宋体" w:eastAsia="宋体"/>
          <w:color w:val="auto"/>
          <w:sz w:val="21"/>
          <w:szCs w:val="21"/>
          <w:highlight w:val="none"/>
        </w:rPr>
        <w:t>附件20. 投标保证金汇入情况说明格式</w:t>
      </w:r>
      <w:bookmarkEnd w:id="21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）的招标文件要求，于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，帐号：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7"/>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keepNext/>
        <w:keepLines/>
        <w:pageBreakBefore w:val="0"/>
        <w:widowControl/>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color w:val="auto"/>
          <w:sz w:val="21"/>
          <w:szCs w:val="21"/>
          <w:highlight w:val="none"/>
        </w:rPr>
      </w:pPr>
      <w:bookmarkStart w:id="218" w:name="_Toc8186"/>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.获取招标文件登记表</w:t>
      </w:r>
      <w:bookmarkEnd w:id="218"/>
    </w:p>
    <w:p>
      <w:pPr>
        <w:pStyle w:val="3"/>
        <w:spacing w:before="0" w:after="0" w:line="240" w:lineRule="auto"/>
        <w:jc w:val="center"/>
        <w:rPr>
          <w:rFonts w:hint="eastAsia" w:ascii="黑体" w:hAnsi="宋体"/>
          <w:color w:val="auto"/>
          <w:sz w:val="44"/>
          <w:szCs w:val="44"/>
          <w:highlight w:val="none"/>
        </w:rPr>
      </w:pPr>
      <w:bookmarkStart w:id="219" w:name="_Toc1968"/>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获取</w:t>
      </w:r>
      <w:r>
        <w:rPr>
          <w:rFonts w:hint="eastAsia" w:ascii="黑体" w:hAnsi="黑体" w:eastAsia="黑体" w:cs="黑体"/>
          <w:color w:val="auto"/>
          <w:sz w:val="36"/>
          <w:szCs w:val="36"/>
          <w:highlight w:val="none"/>
          <w:lang w:eastAsia="zh-CN"/>
        </w:rPr>
        <w:t>招标文件</w:t>
      </w:r>
      <w:r>
        <w:rPr>
          <w:rFonts w:hint="eastAsia" w:ascii="黑体" w:hAnsi="黑体" w:eastAsia="黑体" w:cs="黑体"/>
          <w:color w:val="auto"/>
          <w:sz w:val="36"/>
          <w:szCs w:val="36"/>
          <w:highlight w:val="none"/>
        </w:rPr>
        <w:t>登记表</w:t>
      </w:r>
      <w:bookmarkEnd w:id="219"/>
    </w:p>
    <w:tbl>
      <w:tblPr>
        <w:tblStyle w:val="18"/>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w:t>
            </w: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w:t>
            </w:r>
            <w:r>
              <w:rPr>
                <w:rFonts w:hint="eastAsia" w:ascii="宋体" w:hAnsi="宋体" w:eastAsia="宋体" w:cs="宋体"/>
                <w:color w:val="auto"/>
                <w:sz w:val="32"/>
                <w:szCs w:val="32"/>
                <w:highlight w:val="none"/>
                <w:lang w:val="en-US" w:eastAsia="zh-CN"/>
              </w:rPr>
              <w:t>20</w:t>
            </w:r>
            <w:r>
              <w:rPr>
                <w:rFonts w:hint="eastAsia" w:ascii="宋体" w:hAnsi="宋体" w:eastAsia="宋体" w:cs="宋体"/>
                <w:color w:val="auto"/>
                <w:sz w:val="32"/>
                <w:szCs w:val="32"/>
                <w:highlight w:val="none"/>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drawing>
                <wp:anchor distT="0" distB="0" distL="114300" distR="114300" simplePos="0" relativeHeight="251658240" behindDoc="1" locked="0" layoutInCell="1" allowOverlap="1">
                  <wp:simplePos x="0" y="0"/>
                  <wp:positionH relativeFrom="column">
                    <wp:posOffset>485775</wp:posOffset>
                  </wp:positionH>
                  <wp:positionV relativeFrom="paragraph">
                    <wp:posOffset>22225</wp:posOffset>
                  </wp:positionV>
                  <wp:extent cx="1504950" cy="1409700"/>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504950" cy="1409700"/>
                          </a:xfrm>
                          <a:prstGeom prst="rect">
                            <a:avLst/>
                          </a:prstGeom>
                          <a:noFill/>
                          <a:ln>
                            <a:noFill/>
                          </a:ln>
                        </pic:spPr>
                      </pic:pic>
                    </a:graphicData>
                  </a:graphic>
                </wp:anchor>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bl>
    <w:p>
      <w:pPr>
        <w:rPr>
          <w:rFonts w:ascii="宋体" w:hAnsi="宋体" w:eastAsia="宋体" w:cs="宋体"/>
          <w:color w:val="auto"/>
          <w:sz w:val="21"/>
          <w:szCs w:val="21"/>
          <w:highlight w:val="none"/>
        </w:rPr>
      </w:pPr>
    </w:p>
    <w:p>
      <w:pPr>
        <w:pStyle w:val="2"/>
        <w:rPr>
          <w:color w:val="auto"/>
          <w:highlight w:val="none"/>
        </w:rPr>
      </w:pPr>
    </w:p>
    <w:sectPr>
      <w:footerReference r:id="rId5" w:type="first"/>
      <w:footerReference r:id="rId4"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QqaMwBAACZ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s&#10;bpNCg8eaCh88lcbxLYypeo4jBRPxsQs2fYkSozzpe7rqq8bIZLq0qlarklKScheHcIrH6z5gfKfA&#10;smQ0PNADZl3F8QPGqfRSkro5uNfGUFzUxrGh4a9vqpt84ZohcOOoRyIxDZusOO7GmcEO2hMRG2gJ&#10;Gu5o5zkz7x1pnPblYoSLsZuN1BL9m0OkCfJgCXWCmpvRi2Vq83allfjbz1WPf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pCpo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G9ha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国内</w:t>
    </w:r>
    <w:r>
      <w:rPr>
        <w:rFonts w:hint="eastAsia"/>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CFF174A5"/>
    <w:multiLevelType w:val="singleLevel"/>
    <w:tmpl w:val="CFF174A5"/>
    <w:lvl w:ilvl="0" w:tentative="0">
      <w:start w:val="1"/>
      <w:numFmt w:val="decimal"/>
      <w:suff w:val="nothing"/>
      <w:lvlText w:val="%1、"/>
      <w:lvlJc w:val="left"/>
    </w:lvl>
  </w:abstractNum>
  <w:abstractNum w:abstractNumId="2">
    <w:nsid w:val="D0047B7E"/>
    <w:multiLevelType w:val="singleLevel"/>
    <w:tmpl w:val="D0047B7E"/>
    <w:lvl w:ilvl="0" w:tentative="0">
      <w:start w:val="1"/>
      <w:numFmt w:val="decimal"/>
      <w:suff w:val="nothing"/>
      <w:lvlText w:val="%1、"/>
      <w:lvlJc w:val="left"/>
    </w:lvl>
  </w:abstractNum>
  <w:abstractNum w:abstractNumId="3">
    <w:nsid w:val="E09EF6E1"/>
    <w:multiLevelType w:val="singleLevel"/>
    <w:tmpl w:val="E09EF6E1"/>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F88662E"/>
    <w:multiLevelType w:val="singleLevel"/>
    <w:tmpl w:val="3F88662E"/>
    <w:lvl w:ilvl="0" w:tentative="0">
      <w:start w:val="1"/>
      <w:numFmt w:val="decimal"/>
      <w:suff w:val="space"/>
      <w:lvlText w:val="%1)"/>
      <w:lvlJc w:val="left"/>
    </w:lvl>
  </w:abstractNum>
  <w:abstractNum w:abstractNumId="7">
    <w:nsid w:val="3F8A5608"/>
    <w:multiLevelType w:val="multilevel"/>
    <w:tmpl w:val="3F8A5608"/>
    <w:lvl w:ilvl="0" w:tentative="0">
      <w:start w:val="1"/>
      <w:numFmt w:val="decimal"/>
      <w:pStyle w:val="16"/>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8">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7"/>
  </w:num>
  <w:num w:numId="2">
    <w:abstractNumId w:val="8"/>
  </w:num>
  <w:num w:numId="3">
    <w:abstractNumId w:val="5"/>
  </w:num>
  <w:num w:numId="4">
    <w:abstractNumId w:val="10"/>
  </w:num>
  <w:num w:numId="5">
    <w:abstractNumId w:val="6"/>
  </w:num>
  <w:num w:numId="6">
    <w:abstractNumId w:val="3"/>
  </w:num>
  <w:num w:numId="7">
    <w:abstractNumId w:val="1"/>
  </w:num>
  <w:num w:numId="8">
    <w:abstractNumId w:val="4"/>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7AE0"/>
    <w:rsid w:val="00260AC1"/>
    <w:rsid w:val="0026312D"/>
    <w:rsid w:val="0027078E"/>
    <w:rsid w:val="00284156"/>
    <w:rsid w:val="00285643"/>
    <w:rsid w:val="002867A1"/>
    <w:rsid w:val="002901F8"/>
    <w:rsid w:val="002B4087"/>
    <w:rsid w:val="002B5F6C"/>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322A2"/>
    <w:rsid w:val="004358AB"/>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64F6B"/>
    <w:rsid w:val="006731D2"/>
    <w:rsid w:val="00682986"/>
    <w:rsid w:val="00691701"/>
    <w:rsid w:val="00691AE0"/>
    <w:rsid w:val="0069491E"/>
    <w:rsid w:val="006B7878"/>
    <w:rsid w:val="006C14BD"/>
    <w:rsid w:val="006C28E5"/>
    <w:rsid w:val="006D393E"/>
    <w:rsid w:val="006D4AD8"/>
    <w:rsid w:val="006E0B58"/>
    <w:rsid w:val="006E0C4B"/>
    <w:rsid w:val="007110BA"/>
    <w:rsid w:val="00711465"/>
    <w:rsid w:val="00723B11"/>
    <w:rsid w:val="007343A7"/>
    <w:rsid w:val="00734BB2"/>
    <w:rsid w:val="0075028E"/>
    <w:rsid w:val="007608B9"/>
    <w:rsid w:val="007724B4"/>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E398C"/>
    <w:rsid w:val="009E6F05"/>
    <w:rsid w:val="00A10906"/>
    <w:rsid w:val="00A14EEF"/>
    <w:rsid w:val="00A61230"/>
    <w:rsid w:val="00A813C5"/>
    <w:rsid w:val="00A824E6"/>
    <w:rsid w:val="00A858DC"/>
    <w:rsid w:val="00A94D14"/>
    <w:rsid w:val="00AB19CE"/>
    <w:rsid w:val="00AB3969"/>
    <w:rsid w:val="00AC187B"/>
    <w:rsid w:val="00AE310E"/>
    <w:rsid w:val="00AE4FC5"/>
    <w:rsid w:val="00AF5F1F"/>
    <w:rsid w:val="00B027A4"/>
    <w:rsid w:val="00B236B3"/>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61D2E"/>
    <w:rsid w:val="00E62B7F"/>
    <w:rsid w:val="00E726BC"/>
    <w:rsid w:val="00E72821"/>
    <w:rsid w:val="00E81DDC"/>
    <w:rsid w:val="00E81F67"/>
    <w:rsid w:val="00E83650"/>
    <w:rsid w:val="00E83A31"/>
    <w:rsid w:val="00E97CC0"/>
    <w:rsid w:val="00EA2524"/>
    <w:rsid w:val="00EC092D"/>
    <w:rsid w:val="00EC0DF8"/>
    <w:rsid w:val="00ED378B"/>
    <w:rsid w:val="00EE08F9"/>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2A741FD"/>
    <w:rsid w:val="02C16E5D"/>
    <w:rsid w:val="02D964CF"/>
    <w:rsid w:val="03707410"/>
    <w:rsid w:val="03A0770F"/>
    <w:rsid w:val="03A448B8"/>
    <w:rsid w:val="04DF1036"/>
    <w:rsid w:val="05A97DEC"/>
    <w:rsid w:val="05B23978"/>
    <w:rsid w:val="05C81981"/>
    <w:rsid w:val="06BC41F2"/>
    <w:rsid w:val="07197D08"/>
    <w:rsid w:val="071E5C55"/>
    <w:rsid w:val="077005AB"/>
    <w:rsid w:val="078F4581"/>
    <w:rsid w:val="07BF027F"/>
    <w:rsid w:val="08031A31"/>
    <w:rsid w:val="09061A75"/>
    <w:rsid w:val="09182241"/>
    <w:rsid w:val="09855177"/>
    <w:rsid w:val="0AA534D5"/>
    <w:rsid w:val="0AA650EB"/>
    <w:rsid w:val="0AF47339"/>
    <w:rsid w:val="0B22594B"/>
    <w:rsid w:val="0BDF26F7"/>
    <w:rsid w:val="0C2B4952"/>
    <w:rsid w:val="0C7B2220"/>
    <w:rsid w:val="0D133046"/>
    <w:rsid w:val="0D890E47"/>
    <w:rsid w:val="0DC64A00"/>
    <w:rsid w:val="0DFC60BA"/>
    <w:rsid w:val="0E9502A3"/>
    <w:rsid w:val="0F7C5FF6"/>
    <w:rsid w:val="0FC63FBD"/>
    <w:rsid w:val="106C564D"/>
    <w:rsid w:val="107B7B8F"/>
    <w:rsid w:val="107C67CE"/>
    <w:rsid w:val="109D68CB"/>
    <w:rsid w:val="10A949B8"/>
    <w:rsid w:val="11200D07"/>
    <w:rsid w:val="11DA73AF"/>
    <w:rsid w:val="126C4099"/>
    <w:rsid w:val="12C60D80"/>
    <w:rsid w:val="131F7A3A"/>
    <w:rsid w:val="132645D0"/>
    <w:rsid w:val="13455ABC"/>
    <w:rsid w:val="1370322B"/>
    <w:rsid w:val="143B2E0B"/>
    <w:rsid w:val="14892735"/>
    <w:rsid w:val="14CC769D"/>
    <w:rsid w:val="15D359D7"/>
    <w:rsid w:val="163C77BE"/>
    <w:rsid w:val="1679588C"/>
    <w:rsid w:val="16994962"/>
    <w:rsid w:val="16A71041"/>
    <w:rsid w:val="16AA24BF"/>
    <w:rsid w:val="17680CAB"/>
    <w:rsid w:val="176E4128"/>
    <w:rsid w:val="1783371F"/>
    <w:rsid w:val="17E62B67"/>
    <w:rsid w:val="180F4499"/>
    <w:rsid w:val="18221ECE"/>
    <w:rsid w:val="183C3D90"/>
    <w:rsid w:val="1A460CF5"/>
    <w:rsid w:val="1A7F297D"/>
    <w:rsid w:val="1AB16AC1"/>
    <w:rsid w:val="1B034A52"/>
    <w:rsid w:val="1C750ECE"/>
    <w:rsid w:val="1D196139"/>
    <w:rsid w:val="1E010AF7"/>
    <w:rsid w:val="1E301173"/>
    <w:rsid w:val="1F43381C"/>
    <w:rsid w:val="1FA4148D"/>
    <w:rsid w:val="20121621"/>
    <w:rsid w:val="20420099"/>
    <w:rsid w:val="204E554F"/>
    <w:rsid w:val="20590035"/>
    <w:rsid w:val="20FC799E"/>
    <w:rsid w:val="22154DDD"/>
    <w:rsid w:val="22336873"/>
    <w:rsid w:val="224C63CD"/>
    <w:rsid w:val="23BB4E7D"/>
    <w:rsid w:val="23C172D6"/>
    <w:rsid w:val="23E6195D"/>
    <w:rsid w:val="23F04F64"/>
    <w:rsid w:val="24814CBE"/>
    <w:rsid w:val="24AC168B"/>
    <w:rsid w:val="24E53C70"/>
    <w:rsid w:val="254D0389"/>
    <w:rsid w:val="258C3BEC"/>
    <w:rsid w:val="25E5427A"/>
    <w:rsid w:val="263B1230"/>
    <w:rsid w:val="27B36A67"/>
    <w:rsid w:val="2846581F"/>
    <w:rsid w:val="286602C8"/>
    <w:rsid w:val="28665C95"/>
    <w:rsid w:val="288832E5"/>
    <w:rsid w:val="28F579BA"/>
    <w:rsid w:val="290B3EB9"/>
    <w:rsid w:val="2950768C"/>
    <w:rsid w:val="297A5FC4"/>
    <w:rsid w:val="2A8D4F8F"/>
    <w:rsid w:val="2A917B34"/>
    <w:rsid w:val="2AE3766F"/>
    <w:rsid w:val="2B7E4054"/>
    <w:rsid w:val="2C987C56"/>
    <w:rsid w:val="2CFF149A"/>
    <w:rsid w:val="2D201865"/>
    <w:rsid w:val="2D4B5CEA"/>
    <w:rsid w:val="2D652658"/>
    <w:rsid w:val="2DC80C49"/>
    <w:rsid w:val="2DCA6355"/>
    <w:rsid w:val="2E166748"/>
    <w:rsid w:val="2E556F01"/>
    <w:rsid w:val="2E8E20B4"/>
    <w:rsid w:val="2ED06066"/>
    <w:rsid w:val="2ED1223D"/>
    <w:rsid w:val="2F000139"/>
    <w:rsid w:val="2F9F42DC"/>
    <w:rsid w:val="2FF37AB3"/>
    <w:rsid w:val="31170995"/>
    <w:rsid w:val="31264A30"/>
    <w:rsid w:val="31884E67"/>
    <w:rsid w:val="31A0275E"/>
    <w:rsid w:val="32AB70C5"/>
    <w:rsid w:val="335D0AF5"/>
    <w:rsid w:val="3370088C"/>
    <w:rsid w:val="33DC2F78"/>
    <w:rsid w:val="3428227C"/>
    <w:rsid w:val="35602226"/>
    <w:rsid w:val="356B72E7"/>
    <w:rsid w:val="3572424F"/>
    <w:rsid w:val="36AD519D"/>
    <w:rsid w:val="36B57705"/>
    <w:rsid w:val="37122320"/>
    <w:rsid w:val="37A103ED"/>
    <w:rsid w:val="37EA5E6E"/>
    <w:rsid w:val="37FF016F"/>
    <w:rsid w:val="38206CAC"/>
    <w:rsid w:val="387C5ABE"/>
    <w:rsid w:val="38EB6119"/>
    <w:rsid w:val="3A51228C"/>
    <w:rsid w:val="3A552E60"/>
    <w:rsid w:val="3A5D642F"/>
    <w:rsid w:val="3AB210FC"/>
    <w:rsid w:val="3B793A48"/>
    <w:rsid w:val="3BCD72F7"/>
    <w:rsid w:val="3C3D3625"/>
    <w:rsid w:val="3C414142"/>
    <w:rsid w:val="3CF737A2"/>
    <w:rsid w:val="3D10295A"/>
    <w:rsid w:val="3E0572FD"/>
    <w:rsid w:val="3E5A7FE7"/>
    <w:rsid w:val="3EF66B2E"/>
    <w:rsid w:val="3F217914"/>
    <w:rsid w:val="3FD70BB0"/>
    <w:rsid w:val="3FFB55AC"/>
    <w:rsid w:val="401C5F9D"/>
    <w:rsid w:val="401C690C"/>
    <w:rsid w:val="401D7195"/>
    <w:rsid w:val="40CE3DC0"/>
    <w:rsid w:val="40D7455A"/>
    <w:rsid w:val="40E743E5"/>
    <w:rsid w:val="412D5EA0"/>
    <w:rsid w:val="41734CBA"/>
    <w:rsid w:val="420F7A65"/>
    <w:rsid w:val="4216611A"/>
    <w:rsid w:val="422A4460"/>
    <w:rsid w:val="423E300F"/>
    <w:rsid w:val="425656C8"/>
    <w:rsid w:val="4257273C"/>
    <w:rsid w:val="42FD694D"/>
    <w:rsid w:val="43D3307B"/>
    <w:rsid w:val="43FA5777"/>
    <w:rsid w:val="441C1611"/>
    <w:rsid w:val="443C440B"/>
    <w:rsid w:val="44514F52"/>
    <w:rsid w:val="44D0586F"/>
    <w:rsid w:val="44FA2D53"/>
    <w:rsid w:val="4571374F"/>
    <w:rsid w:val="458B1BB0"/>
    <w:rsid w:val="467A0297"/>
    <w:rsid w:val="468B7125"/>
    <w:rsid w:val="46C4691F"/>
    <w:rsid w:val="479D1D34"/>
    <w:rsid w:val="47B609C0"/>
    <w:rsid w:val="482D31EA"/>
    <w:rsid w:val="485970A0"/>
    <w:rsid w:val="48823516"/>
    <w:rsid w:val="48B65C71"/>
    <w:rsid w:val="492E6A57"/>
    <w:rsid w:val="4A0030EE"/>
    <w:rsid w:val="4A557FCF"/>
    <w:rsid w:val="4B8C2DEB"/>
    <w:rsid w:val="4BFA3C9F"/>
    <w:rsid w:val="4C107F48"/>
    <w:rsid w:val="4C3277BC"/>
    <w:rsid w:val="4CC353EB"/>
    <w:rsid w:val="4CF36F3C"/>
    <w:rsid w:val="4D603399"/>
    <w:rsid w:val="4D867EE1"/>
    <w:rsid w:val="4DBC4C65"/>
    <w:rsid w:val="4E550010"/>
    <w:rsid w:val="4E5F14CB"/>
    <w:rsid w:val="4F3705F8"/>
    <w:rsid w:val="4FAC3540"/>
    <w:rsid w:val="4FCF1583"/>
    <w:rsid w:val="4FFA7625"/>
    <w:rsid w:val="507D2599"/>
    <w:rsid w:val="5096229D"/>
    <w:rsid w:val="50DC4184"/>
    <w:rsid w:val="514C3EA7"/>
    <w:rsid w:val="52AC4ABC"/>
    <w:rsid w:val="539C1B81"/>
    <w:rsid w:val="53A447B1"/>
    <w:rsid w:val="53AE750F"/>
    <w:rsid w:val="549A6BFA"/>
    <w:rsid w:val="55FA2961"/>
    <w:rsid w:val="565E7F4F"/>
    <w:rsid w:val="56914056"/>
    <w:rsid w:val="57F65317"/>
    <w:rsid w:val="57FC2169"/>
    <w:rsid w:val="58096275"/>
    <w:rsid w:val="582E6EF7"/>
    <w:rsid w:val="584E30E6"/>
    <w:rsid w:val="597B384D"/>
    <w:rsid w:val="59996DA8"/>
    <w:rsid w:val="59C30F1B"/>
    <w:rsid w:val="5AC7121C"/>
    <w:rsid w:val="5AD90B8D"/>
    <w:rsid w:val="5AE12927"/>
    <w:rsid w:val="5B4E1A44"/>
    <w:rsid w:val="5B873201"/>
    <w:rsid w:val="5B967767"/>
    <w:rsid w:val="5C286807"/>
    <w:rsid w:val="5C446BC8"/>
    <w:rsid w:val="5C7C2768"/>
    <w:rsid w:val="5CB23AE6"/>
    <w:rsid w:val="5D0D6DF5"/>
    <w:rsid w:val="5D893B14"/>
    <w:rsid w:val="5EA06921"/>
    <w:rsid w:val="5FBE370A"/>
    <w:rsid w:val="60292845"/>
    <w:rsid w:val="612E1A5D"/>
    <w:rsid w:val="61816046"/>
    <w:rsid w:val="62391564"/>
    <w:rsid w:val="62816669"/>
    <w:rsid w:val="62BA0953"/>
    <w:rsid w:val="62D03A7C"/>
    <w:rsid w:val="62F648FE"/>
    <w:rsid w:val="63A10995"/>
    <w:rsid w:val="63C23EFA"/>
    <w:rsid w:val="643A070A"/>
    <w:rsid w:val="644C573D"/>
    <w:rsid w:val="65032F85"/>
    <w:rsid w:val="65136B50"/>
    <w:rsid w:val="657E2A35"/>
    <w:rsid w:val="65A94E9D"/>
    <w:rsid w:val="65C60A92"/>
    <w:rsid w:val="66A12460"/>
    <w:rsid w:val="66DD6702"/>
    <w:rsid w:val="682A2352"/>
    <w:rsid w:val="68AD17BB"/>
    <w:rsid w:val="68D94D22"/>
    <w:rsid w:val="692B2E4A"/>
    <w:rsid w:val="696A0B34"/>
    <w:rsid w:val="698D6A17"/>
    <w:rsid w:val="69F954C1"/>
    <w:rsid w:val="6A2031B6"/>
    <w:rsid w:val="6A2F57D7"/>
    <w:rsid w:val="6AC61F6F"/>
    <w:rsid w:val="6ADE74F0"/>
    <w:rsid w:val="6B723594"/>
    <w:rsid w:val="6B805156"/>
    <w:rsid w:val="6BD50977"/>
    <w:rsid w:val="6CAA3931"/>
    <w:rsid w:val="6D3933CA"/>
    <w:rsid w:val="6D7B61EC"/>
    <w:rsid w:val="6DDA1AAE"/>
    <w:rsid w:val="6E09491E"/>
    <w:rsid w:val="6E0D3655"/>
    <w:rsid w:val="6E5F4465"/>
    <w:rsid w:val="6E8C54DA"/>
    <w:rsid w:val="6EF11E03"/>
    <w:rsid w:val="6F111C62"/>
    <w:rsid w:val="6F2176E5"/>
    <w:rsid w:val="6F592303"/>
    <w:rsid w:val="6F5F5B74"/>
    <w:rsid w:val="6F9B1C65"/>
    <w:rsid w:val="6FFB146E"/>
    <w:rsid w:val="706516C3"/>
    <w:rsid w:val="70896E68"/>
    <w:rsid w:val="715B60E9"/>
    <w:rsid w:val="71EA1FED"/>
    <w:rsid w:val="730313F6"/>
    <w:rsid w:val="73370D24"/>
    <w:rsid w:val="7359268C"/>
    <w:rsid w:val="739503EB"/>
    <w:rsid w:val="73A05B28"/>
    <w:rsid w:val="73C07D69"/>
    <w:rsid w:val="74B42AE4"/>
    <w:rsid w:val="750A429D"/>
    <w:rsid w:val="75614792"/>
    <w:rsid w:val="75784473"/>
    <w:rsid w:val="758B2E80"/>
    <w:rsid w:val="75B161B3"/>
    <w:rsid w:val="76736B32"/>
    <w:rsid w:val="76E3765E"/>
    <w:rsid w:val="76FC2AFA"/>
    <w:rsid w:val="77545D22"/>
    <w:rsid w:val="77653671"/>
    <w:rsid w:val="778546CC"/>
    <w:rsid w:val="77B56730"/>
    <w:rsid w:val="77C04A8B"/>
    <w:rsid w:val="77D85DB3"/>
    <w:rsid w:val="78A50513"/>
    <w:rsid w:val="796518DD"/>
    <w:rsid w:val="79AA0532"/>
    <w:rsid w:val="79FE1DDD"/>
    <w:rsid w:val="7A075767"/>
    <w:rsid w:val="7A212062"/>
    <w:rsid w:val="7A282A11"/>
    <w:rsid w:val="7A3A59B8"/>
    <w:rsid w:val="7A5349BE"/>
    <w:rsid w:val="7AC21562"/>
    <w:rsid w:val="7AD474A4"/>
    <w:rsid w:val="7B8D34C3"/>
    <w:rsid w:val="7B971D84"/>
    <w:rsid w:val="7BF32F03"/>
    <w:rsid w:val="7C013588"/>
    <w:rsid w:val="7C1724A5"/>
    <w:rsid w:val="7CA54112"/>
    <w:rsid w:val="7CAB27F5"/>
    <w:rsid w:val="7CE50CE4"/>
    <w:rsid w:val="7D2E5ABF"/>
    <w:rsid w:val="7E2142A2"/>
    <w:rsid w:val="7E7B0BF2"/>
    <w:rsid w:val="7E8D75B6"/>
    <w:rsid w:val="7EF7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tabs>
        <w:tab w:val="right" w:leader="dot" w:pos="8296"/>
      </w:tabs>
      <w:ind w:left="838" w:leftChars="381"/>
    </w:pPr>
    <w:rPr>
      <w:sz w:val="21"/>
      <w:szCs w:val="21"/>
    </w:rPr>
  </w:style>
  <w:style w:type="paragraph" w:styleId="8">
    <w:name w:val="Plain Text"/>
    <w:basedOn w:val="1"/>
    <w:link w:val="36"/>
    <w:qFormat/>
    <w:uiPriority w:val="0"/>
    <w:pPr>
      <w:widowControl w:val="0"/>
      <w:adjustRightInd/>
      <w:snapToGrid/>
      <w:spacing w:after="0"/>
      <w:jc w:val="both"/>
    </w:pPr>
    <w:rPr>
      <w:rFonts w:ascii="宋体" w:hAnsi="Courier New" w:eastAsia="宋体" w:cs="Times New Roman"/>
      <w:b/>
      <w:kern w:val="2"/>
      <w:sz w:val="21"/>
      <w:szCs w:val="20"/>
    </w:rPr>
  </w:style>
  <w:style w:type="paragraph" w:styleId="9">
    <w:name w:val="Balloon Text"/>
    <w:basedOn w:val="1"/>
    <w:link w:val="39"/>
    <w:semiHidden/>
    <w:unhideWhenUsed/>
    <w:qFormat/>
    <w:uiPriority w:val="99"/>
    <w:pPr>
      <w:spacing w:after="0"/>
    </w:pPr>
    <w:rPr>
      <w:sz w:val="18"/>
      <w:szCs w:val="18"/>
    </w:rPr>
  </w:style>
  <w:style w:type="paragraph" w:styleId="10">
    <w:name w:val="footer"/>
    <w:basedOn w:val="1"/>
    <w:link w:val="38"/>
    <w:unhideWhenUsed/>
    <w:qFormat/>
    <w:uiPriority w:val="99"/>
    <w:pPr>
      <w:tabs>
        <w:tab w:val="center" w:pos="4153"/>
        <w:tab w:val="right" w:pos="8306"/>
      </w:tabs>
    </w:pPr>
    <w:rPr>
      <w:sz w:val="18"/>
      <w:szCs w:val="18"/>
    </w:rPr>
  </w:style>
  <w:style w:type="paragraph" w:styleId="11">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tabs>
        <w:tab w:val="right" w:leader="dot" w:pos="8296"/>
      </w:tabs>
      <w:spacing w:after="120"/>
      <w:ind w:left="1320" w:leftChars="600"/>
    </w:pPr>
  </w:style>
  <w:style w:type="paragraph" w:styleId="14">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5">
    <w:name w:val="Normal (Web)"/>
    <w:basedOn w:val="1"/>
    <w:link w:val="41"/>
    <w:qFormat/>
    <w:uiPriority w:val="0"/>
    <w:pPr>
      <w:widowControl w:val="0"/>
      <w:adjustRightInd/>
      <w:snapToGrid/>
      <w:spacing w:after="0"/>
      <w:jc w:val="both"/>
    </w:pPr>
    <w:rPr>
      <w:rFonts w:eastAsia="宋体" w:asciiTheme="minorHAnsi" w:hAnsiTheme="minorHAnsi"/>
      <w:kern w:val="2"/>
      <w:sz w:val="24"/>
      <w:szCs w:val="24"/>
    </w:rPr>
  </w:style>
  <w:style w:type="paragraph" w:styleId="16">
    <w:name w:val="Body Text First Indent"/>
    <w:basedOn w:val="2"/>
    <w:qFormat/>
    <w:uiPriority w:val="0"/>
    <w:pPr>
      <w:numPr>
        <w:ilvl w:val="0"/>
        <w:numId w:val="1"/>
      </w:numPr>
      <w:tabs>
        <w:tab w:val="clear" w:pos="420"/>
      </w:tabs>
      <w:spacing w:line="360" w:lineRule="auto"/>
      <w:ind w:left="0" w:firstLine="420" w:firstLineChars="100"/>
    </w:pPr>
    <w:rPr>
      <w:rFonts w:ascii="Calibri" w:hAnsi="Calibri"/>
      <w:szCs w:val="2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iCs/>
    </w:rPr>
  </w:style>
  <w:style w:type="character" w:styleId="21">
    <w:name w:val="Hyperlink"/>
    <w:qFormat/>
    <w:uiPriority w:val="99"/>
    <w:rPr>
      <w:rFonts w:hint="eastAsia" w:ascii="宋体" w:hAnsi="宋体" w:eastAsia="宋体" w:cs="宋体"/>
      <w:b/>
      <w:color w:val="0031C1"/>
      <w:kern w:val="0"/>
      <w:sz w:val="18"/>
      <w:szCs w:val="18"/>
      <w:u w:val="none"/>
      <w:lang w:eastAsia="en-US"/>
    </w:rPr>
  </w:style>
  <w:style w:type="character" w:customStyle="1" w:styleId="22">
    <w:name w:val="标题 2 字符"/>
    <w:basedOn w:val="19"/>
    <w:link w:val="3"/>
    <w:qFormat/>
    <w:uiPriority w:val="9"/>
    <w:rPr>
      <w:rFonts w:asciiTheme="majorHAnsi" w:hAnsiTheme="majorHAnsi" w:eastAsiaTheme="majorEastAsia" w:cstheme="majorBidi"/>
      <w:b/>
      <w:bCs/>
      <w:sz w:val="32"/>
      <w:szCs w:val="32"/>
    </w:rPr>
  </w:style>
  <w:style w:type="character" w:customStyle="1" w:styleId="23">
    <w:name w:val="标题 3 字符"/>
    <w:basedOn w:val="19"/>
    <w:link w:val="4"/>
    <w:qFormat/>
    <w:uiPriority w:val="9"/>
    <w:rPr>
      <w:rFonts w:ascii="Tahoma" w:hAnsi="Tahoma"/>
      <w:b/>
      <w:bCs/>
      <w:sz w:val="32"/>
      <w:szCs w:val="32"/>
    </w:rPr>
  </w:style>
  <w:style w:type="paragraph" w:styleId="24">
    <w:name w:val="List Paragraph"/>
    <w:basedOn w:val="1"/>
    <w:qFormat/>
    <w:uiPriority w:val="34"/>
    <w:pPr>
      <w:ind w:firstLine="420" w:firstLineChars="200"/>
    </w:pPr>
  </w:style>
  <w:style w:type="character" w:customStyle="1" w:styleId="25">
    <w:name w:val="标题 4 字符"/>
    <w:basedOn w:val="19"/>
    <w:link w:val="5"/>
    <w:qFormat/>
    <w:uiPriority w:val="9"/>
    <w:rPr>
      <w:rFonts w:asciiTheme="majorHAnsi" w:hAnsiTheme="majorHAnsi" w:eastAsiaTheme="majorEastAsia" w:cstheme="majorBidi"/>
      <w:b/>
      <w:bCs/>
      <w:sz w:val="28"/>
      <w:szCs w:val="28"/>
    </w:rPr>
  </w:style>
  <w:style w:type="character" w:customStyle="1" w:styleId="26">
    <w:name w:val="正文缩进2格 Char"/>
    <w:link w:val="27"/>
    <w:qFormat/>
    <w:uiPriority w:val="0"/>
    <w:rPr>
      <w:rFonts w:ascii="仿宋_GB2312" w:hAnsi="宋体" w:eastAsia="仿宋_GB2312"/>
      <w:kern w:val="2"/>
      <w:sz w:val="31"/>
    </w:rPr>
  </w:style>
  <w:style w:type="paragraph" w:customStyle="1" w:styleId="27">
    <w:name w:val="正文缩进2格"/>
    <w:basedOn w:val="1"/>
    <w:link w:val="26"/>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8">
    <w:name w:val="正文缩进4格"/>
    <w:basedOn w:val="27"/>
    <w:qFormat/>
    <w:uiPriority w:val="0"/>
    <w:pPr>
      <w:ind w:left="2" w:firstLine="538" w:firstLineChars="192"/>
    </w:pPr>
    <w:rPr>
      <w:color w:val="0000FF"/>
      <w:sz w:val="28"/>
    </w:rPr>
  </w:style>
  <w:style w:type="character" w:customStyle="1" w:styleId="29">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0">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1">
    <w:name w:val="标题1"/>
    <w:qFormat/>
    <w:uiPriority w:val="0"/>
    <w:rPr>
      <w:rFonts w:ascii="Times New Roman" w:hAnsi="Times New Roman" w:eastAsia="宋体" w:cs="Times New Roman"/>
      <w:b/>
      <w:kern w:val="0"/>
      <w:sz w:val="24"/>
      <w:szCs w:val="20"/>
      <w:lang w:eastAsia="en-US"/>
    </w:rPr>
  </w:style>
  <w:style w:type="character" w:customStyle="1" w:styleId="32">
    <w:name w:val="标题 3.1 Char"/>
    <w:link w:val="33"/>
    <w:qFormat/>
    <w:uiPriority w:val="0"/>
    <w:rPr>
      <w:rFonts w:ascii="宋体" w:hAnsi="宋体" w:eastAsia="宋体"/>
      <w:b/>
      <w:color w:val="FF0000"/>
      <w:kern w:val="2"/>
      <w:sz w:val="32"/>
    </w:rPr>
  </w:style>
  <w:style w:type="paragraph" w:customStyle="1" w:styleId="33">
    <w:name w:val="标题 3.1"/>
    <w:basedOn w:val="4"/>
    <w:link w:val="32"/>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4">
    <w:name w:val="样式 楷体_GB2312 小四"/>
    <w:qFormat/>
    <w:uiPriority w:val="0"/>
    <w:rPr>
      <w:rFonts w:ascii="楷体_GB2312" w:hAnsi="楷体_GB2312" w:eastAsia="仿宋_GB2312"/>
      <w:sz w:val="24"/>
    </w:rPr>
  </w:style>
  <w:style w:type="character" w:customStyle="1" w:styleId="35">
    <w:name w:val="纯文本 Char"/>
    <w:qFormat/>
    <w:uiPriority w:val="0"/>
    <w:rPr>
      <w:rFonts w:ascii="宋体" w:hAnsi="Courier New" w:eastAsia="宋体" w:cs="Times New Roman"/>
      <w:b/>
      <w:kern w:val="2"/>
      <w:sz w:val="21"/>
      <w:szCs w:val="20"/>
    </w:rPr>
  </w:style>
  <w:style w:type="character" w:customStyle="1" w:styleId="36">
    <w:name w:val="纯文本 字符"/>
    <w:basedOn w:val="19"/>
    <w:link w:val="8"/>
    <w:semiHidden/>
    <w:qFormat/>
    <w:uiPriority w:val="99"/>
    <w:rPr>
      <w:rFonts w:ascii="宋体" w:hAnsi="Courier New" w:eastAsia="宋体" w:cs="Courier New"/>
      <w:sz w:val="21"/>
      <w:szCs w:val="21"/>
    </w:rPr>
  </w:style>
  <w:style w:type="character" w:customStyle="1" w:styleId="37">
    <w:name w:val="页眉 字符"/>
    <w:basedOn w:val="19"/>
    <w:link w:val="11"/>
    <w:qFormat/>
    <w:uiPriority w:val="99"/>
    <w:rPr>
      <w:rFonts w:ascii="Tahoma" w:hAnsi="Tahoma"/>
      <w:sz w:val="18"/>
      <w:szCs w:val="18"/>
    </w:rPr>
  </w:style>
  <w:style w:type="character" w:customStyle="1" w:styleId="38">
    <w:name w:val="页脚 字符"/>
    <w:basedOn w:val="19"/>
    <w:link w:val="10"/>
    <w:qFormat/>
    <w:uiPriority w:val="99"/>
    <w:rPr>
      <w:rFonts w:ascii="Tahoma" w:hAnsi="Tahoma"/>
      <w:sz w:val="18"/>
      <w:szCs w:val="18"/>
    </w:rPr>
  </w:style>
  <w:style w:type="character" w:customStyle="1" w:styleId="39">
    <w:name w:val="批注框文本 字符"/>
    <w:basedOn w:val="19"/>
    <w:link w:val="9"/>
    <w:semiHidden/>
    <w:qFormat/>
    <w:uiPriority w:val="99"/>
    <w:rPr>
      <w:rFonts w:ascii="Tahoma" w:hAnsi="Tahoma"/>
      <w:sz w:val="18"/>
      <w:szCs w:val="18"/>
    </w:rPr>
  </w:style>
  <w:style w:type="paragraph" w:customStyle="1" w:styleId="40">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1">
    <w:name w:val="普通(网站) 字符"/>
    <w:link w:val="15"/>
    <w:qFormat/>
    <w:uiPriority w:val="0"/>
    <w:rPr>
      <w:rFonts w:eastAsia="宋体"/>
      <w:kern w:val="2"/>
      <w:sz w:val="24"/>
      <w:szCs w:val="24"/>
    </w:rPr>
  </w:style>
  <w:style w:type="paragraph" w:customStyle="1" w:styleId="42">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3">
    <w:name w:val="p141"/>
    <w:qFormat/>
    <w:uiPriority w:val="0"/>
    <w:rPr>
      <w:sz w:val="21"/>
      <w:szCs w:val="21"/>
    </w:rPr>
  </w:style>
  <w:style w:type="paragraph" w:customStyle="1" w:styleId="44">
    <w:name w:val="保留正文"/>
    <w:basedOn w:val="2"/>
    <w:qFormat/>
    <w:uiPriority w:val="0"/>
    <w:pPr>
      <w:keepNext/>
      <w:spacing w:after="160" w:line="360" w:lineRule="auto"/>
    </w:pPr>
    <w:rPr>
      <w:rFonts w:ascii="仿宋_GB2312" w:hAnsi="Times New Roman" w:eastAsia="仿宋_GB2312" w:cs="Times New Roman"/>
      <w:sz w:val="28"/>
      <w:szCs w:val="20"/>
    </w:rPr>
  </w:style>
  <w:style w:type="character" w:customStyle="1" w:styleId="45">
    <w:name w:val="font01"/>
    <w:basedOn w:val="19"/>
    <w:qFormat/>
    <w:uiPriority w:val="0"/>
    <w:rPr>
      <w:rFonts w:hint="eastAsia" w:ascii="宋体" w:hAnsi="宋体" w:eastAsia="宋体" w:cs="宋体"/>
      <w:color w:val="000000"/>
      <w:sz w:val="18"/>
      <w:szCs w:val="18"/>
      <w:u w:val="none"/>
    </w:rPr>
  </w:style>
  <w:style w:type="character" w:customStyle="1" w:styleId="46">
    <w:name w:val="font11"/>
    <w:basedOn w:val="19"/>
    <w:qFormat/>
    <w:uiPriority w:val="0"/>
    <w:rPr>
      <w:rFonts w:hint="eastAsia" w:ascii="宋体" w:hAnsi="宋体" w:eastAsia="宋体" w:cs="宋体"/>
      <w:color w:val="000000"/>
      <w:sz w:val="22"/>
      <w:szCs w:val="22"/>
      <w:u w:val="none"/>
    </w:rPr>
  </w:style>
  <w:style w:type="character" w:customStyle="1" w:styleId="47">
    <w:name w:val="font41"/>
    <w:basedOn w:val="19"/>
    <w:qFormat/>
    <w:uiPriority w:val="0"/>
    <w:rPr>
      <w:rFonts w:hint="default" w:ascii="Times New Roman" w:hAnsi="Times New Roman" w:cs="Times New Roman"/>
      <w:color w:val="000000"/>
      <w:sz w:val="20"/>
      <w:szCs w:val="20"/>
      <w:u w:val="none"/>
    </w:rPr>
  </w:style>
  <w:style w:type="character" w:customStyle="1" w:styleId="48">
    <w:name w:val="font31"/>
    <w:basedOn w:val="19"/>
    <w:qFormat/>
    <w:uiPriority w:val="0"/>
    <w:rPr>
      <w:rFonts w:hint="eastAsia" w:ascii="宋体" w:hAnsi="宋体" w:eastAsia="宋体" w:cs="宋体"/>
      <w:color w:val="000000"/>
      <w:sz w:val="20"/>
      <w:szCs w:val="20"/>
      <w:u w:val="none"/>
      <w:vertAlign w:val="superscript"/>
    </w:rPr>
  </w:style>
  <w:style w:type="character" w:customStyle="1" w:styleId="49">
    <w:name w:val="font61"/>
    <w:basedOn w:val="19"/>
    <w:qFormat/>
    <w:uiPriority w:val="0"/>
    <w:rPr>
      <w:rFonts w:hint="eastAsia" w:ascii="宋体" w:hAnsi="宋体" w:eastAsia="宋体" w:cs="宋体"/>
      <w:color w:val="000000"/>
      <w:sz w:val="20"/>
      <w:szCs w:val="20"/>
      <w:u w:val="none"/>
    </w:rPr>
  </w:style>
  <w:style w:type="character" w:customStyle="1" w:styleId="50">
    <w:name w:val="font21"/>
    <w:basedOn w:val="19"/>
    <w:qFormat/>
    <w:uiPriority w:val="0"/>
    <w:rPr>
      <w:rFonts w:hint="default" w:ascii="Times New Roman" w:hAnsi="Times New Roman" w:cs="Times New Roman"/>
      <w:color w:val="000000"/>
      <w:sz w:val="20"/>
      <w:szCs w:val="20"/>
      <w:u w:val="none"/>
      <w:vertAlign w:val="superscript"/>
    </w:rPr>
  </w:style>
  <w:style w:type="character" w:customStyle="1" w:styleId="51">
    <w:name w:val="font71"/>
    <w:basedOn w:val="19"/>
    <w:qFormat/>
    <w:uiPriority w:val="0"/>
    <w:rPr>
      <w:rFonts w:hint="eastAsia" w:ascii="宋体" w:hAnsi="宋体" w:eastAsia="宋体" w:cs="宋体"/>
      <w:color w:val="000000"/>
      <w:sz w:val="20"/>
      <w:szCs w:val="20"/>
      <w:u w:val="none"/>
    </w:rPr>
  </w:style>
  <w:style w:type="paragraph" w:customStyle="1" w:styleId="52">
    <w:name w:val="_Style 4"/>
    <w:basedOn w:val="1"/>
    <w:qFormat/>
    <w:uiPriority w:val="0"/>
    <w:pPr>
      <w:spacing w:line="360" w:lineRule="auto"/>
      <w:ind w:firstLine="420" w:firstLineChars="200"/>
    </w:pPr>
    <w:rPr>
      <w:rFonts w:ascii="Calibri" w:hAnsi="Calibri"/>
      <w:szCs w:val="22"/>
    </w:rPr>
  </w:style>
  <w:style w:type="character" w:customStyle="1" w:styleId="53">
    <w:name w:val="font5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1FBAE-2CAE-44C6-AC91-4383CA6204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5400</Words>
  <Characters>30783</Characters>
  <Lines>256</Lines>
  <Paragraphs>72</Paragraphs>
  <TotalTime>26</TotalTime>
  <ScaleCrop>false</ScaleCrop>
  <LinksUpToDate>false</LinksUpToDate>
  <CharactersWithSpaces>36111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11</dc:creator>
  <cp:lastModifiedBy>三方诚信</cp:lastModifiedBy>
  <cp:lastPrinted>2019-04-01T01:49:00Z</cp:lastPrinted>
  <dcterms:modified xsi:type="dcterms:W3CDTF">2020-12-07T08:06:17Z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