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default" w:eastAsia="黑体"/>
          <w:b/>
          <w:color w:val="auto"/>
          <w:sz w:val="36"/>
          <w:highlight w:val="none"/>
          <w:lang w:val="en-US" w:eastAsia="zh-CN"/>
        </w:rPr>
      </w:pPr>
      <w:r>
        <w:rPr>
          <w:rFonts w:hint="eastAsia" w:eastAsia="黑体"/>
          <w:b/>
          <w:color w:val="auto"/>
          <w:sz w:val="28"/>
          <w:highlight w:val="none"/>
        </w:rPr>
        <w:drawing>
          <wp:inline distT="0" distB="0" distL="114300" distR="114300">
            <wp:extent cx="533400" cy="514350"/>
            <wp:effectExtent l="19050" t="0" r="0" b="0"/>
            <wp:docPr id="2" name="Picture 2" descr="三方诚信标志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三方诚信标志01"/>
                    <pic:cNvPicPr>
                      <a:picLocks noChangeAspect="1" noChangeArrowheads="1"/>
                    </pic:cNvPicPr>
                  </pic:nvPicPr>
                  <pic:blipFill>
                    <a:blip r:embed="rId8" cstate="print"/>
                    <a:srcRect/>
                    <a:stretch>
                      <a:fillRect/>
                    </a:stretch>
                  </pic:blipFill>
                  <pic:spPr>
                    <a:xfrm>
                      <a:off x="0" y="0"/>
                      <a:ext cx="533400" cy="514350"/>
                    </a:xfrm>
                    <a:prstGeom prst="rect">
                      <a:avLst/>
                    </a:prstGeom>
                    <a:noFill/>
                    <a:ln w="9525">
                      <a:noFill/>
                      <a:miter lim="800000"/>
                      <a:headEnd/>
                      <a:tailEnd/>
                    </a:ln>
                  </pic:spPr>
                </pic:pic>
              </a:graphicData>
            </a:graphic>
          </wp:inline>
        </w:drawing>
      </w:r>
    </w:p>
    <w:p>
      <w:pPr>
        <w:jc w:val="right"/>
        <w:rPr>
          <w:rFonts w:eastAsia="黑体"/>
          <w:b/>
          <w:color w:val="auto"/>
          <w:sz w:val="36"/>
          <w:highlight w:val="none"/>
        </w:rPr>
      </w:pPr>
    </w:p>
    <w:p>
      <w:pPr>
        <w:rPr>
          <w:color w:val="auto"/>
          <w:highlight w:val="none"/>
        </w:rPr>
      </w:pPr>
    </w:p>
    <w:p>
      <w:pPr>
        <w:rPr>
          <w:color w:val="auto"/>
          <w:highlight w:val="none"/>
        </w:rPr>
      </w:pPr>
    </w:p>
    <w:p>
      <w:pPr>
        <w:rPr>
          <w:color w:val="auto"/>
          <w:highlight w:val="none"/>
        </w:rPr>
      </w:pPr>
    </w:p>
    <w:p>
      <w:pPr>
        <w:jc w:val="center"/>
        <w:rPr>
          <w:rFonts w:ascii="黑体" w:eastAsia="黑体"/>
          <w:b/>
          <w:color w:val="auto"/>
          <w:sz w:val="72"/>
          <w:szCs w:val="32"/>
          <w:highlight w:val="none"/>
        </w:rPr>
      </w:pPr>
      <w:r>
        <w:rPr>
          <w:rFonts w:hint="eastAsia" w:ascii="黑体" w:eastAsia="黑体"/>
          <w:b/>
          <w:color w:val="auto"/>
          <w:sz w:val="72"/>
          <w:szCs w:val="32"/>
          <w:highlight w:val="none"/>
          <w:lang w:eastAsia="zh-CN"/>
        </w:rPr>
        <w:t>国内</w:t>
      </w:r>
      <w:r>
        <w:rPr>
          <w:rFonts w:hint="eastAsia" w:ascii="黑体" w:eastAsia="黑体"/>
          <w:b/>
          <w:color w:val="auto"/>
          <w:sz w:val="72"/>
          <w:szCs w:val="32"/>
          <w:highlight w:val="none"/>
        </w:rPr>
        <w:t>采购</w:t>
      </w:r>
    </w:p>
    <w:p>
      <w:pPr>
        <w:jc w:val="center"/>
        <w:rPr>
          <w:b/>
          <w:color w:val="auto"/>
          <w:sz w:val="72"/>
          <w:szCs w:val="32"/>
          <w:highlight w:val="none"/>
        </w:rPr>
      </w:pPr>
      <w:r>
        <w:rPr>
          <w:rFonts w:hint="eastAsia" w:ascii="黑体" w:eastAsia="黑体"/>
          <w:b/>
          <w:color w:val="auto"/>
          <w:sz w:val="72"/>
          <w:szCs w:val="32"/>
          <w:highlight w:val="none"/>
        </w:rPr>
        <w:t>公开招标文件</w:t>
      </w:r>
    </w:p>
    <w:p>
      <w:pPr>
        <w:jc w:val="center"/>
        <w:rPr>
          <w:color w:val="auto"/>
          <w:highlight w:val="none"/>
        </w:rPr>
      </w:pPr>
    </w:p>
    <w:p>
      <w:pPr>
        <w:jc w:val="center"/>
        <w:rPr>
          <w:color w:val="auto"/>
          <w:highlight w:val="none"/>
        </w:rPr>
      </w:pPr>
    </w:p>
    <w:p>
      <w:pPr>
        <w:rPr>
          <w:color w:val="auto"/>
          <w:highlight w:val="none"/>
        </w:rPr>
      </w:pPr>
    </w:p>
    <w:tbl>
      <w:tblPr>
        <w:tblStyle w:val="19"/>
        <w:tblW w:w="0" w:type="auto"/>
        <w:tblInd w:w="-2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13"/>
        <w:gridCol w:w="62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67" w:hRule="atLeast"/>
        </w:trPr>
        <w:tc>
          <w:tcPr>
            <w:tcW w:w="2613" w:type="dxa"/>
            <w:noWrap w:val="0"/>
            <w:vAlign w:val="center"/>
          </w:tcPr>
          <w:p>
            <w:pPr>
              <w:keepNext w:val="0"/>
              <w:keepLines w:val="0"/>
              <w:pageBreakBefore w:val="0"/>
              <w:widowControl/>
              <w:kinsoku/>
              <w:wordWrap/>
              <w:overflowPunct/>
              <w:topLinePunct w:val="0"/>
              <w:autoSpaceDE/>
              <w:autoSpaceDN/>
              <w:bidi w:val="0"/>
              <w:adjustRightInd w:val="0"/>
              <w:snapToGrid w:val="0"/>
              <w:spacing w:before="200" w:after="200" w:line="240" w:lineRule="auto"/>
              <w:jc w:val="both"/>
              <w:textAlignment w:val="auto"/>
              <w:rPr>
                <w:rFonts w:hint="eastAsia" w:ascii="黑体" w:hAnsi="黑体" w:eastAsia="黑体" w:cs="黑体"/>
                <w:bCs/>
                <w:color w:val="auto"/>
                <w:sz w:val="32"/>
                <w:szCs w:val="24"/>
                <w:highlight w:val="none"/>
                <w:vertAlign w:val="baseline"/>
                <w:lang w:eastAsia="zh-CN"/>
              </w:rPr>
            </w:pPr>
            <w:r>
              <w:rPr>
                <w:rFonts w:hint="eastAsia" w:ascii="黑体" w:hAnsi="黑体" w:eastAsia="黑体" w:cs="黑体"/>
                <w:bCs/>
                <w:color w:val="auto"/>
                <w:sz w:val="32"/>
                <w:szCs w:val="24"/>
                <w:highlight w:val="none"/>
                <w:vertAlign w:val="baseline"/>
                <w:lang w:eastAsia="zh-CN"/>
              </w:rPr>
              <w:t>项目名称：</w:t>
            </w:r>
          </w:p>
        </w:tc>
        <w:tc>
          <w:tcPr>
            <w:tcW w:w="6203" w:type="dxa"/>
            <w:noWrap w:val="0"/>
            <w:vAlign w:val="center"/>
          </w:tcPr>
          <w:p>
            <w:pPr>
              <w:keepNext w:val="0"/>
              <w:keepLines w:val="0"/>
              <w:pageBreakBefore w:val="0"/>
              <w:widowControl/>
              <w:kinsoku/>
              <w:wordWrap/>
              <w:overflowPunct/>
              <w:topLinePunct w:val="0"/>
              <w:autoSpaceDE/>
              <w:autoSpaceDN/>
              <w:bidi w:val="0"/>
              <w:adjustRightInd w:val="0"/>
              <w:snapToGrid w:val="0"/>
              <w:spacing w:before="200" w:after="200" w:line="240" w:lineRule="auto"/>
              <w:jc w:val="both"/>
              <w:textAlignment w:val="auto"/>
              <w:rPr>
                <w:rFonts w:hint="eastAsia" w:ascii="黑体" w:hAnsi="黑体" w:eastAsia="黑体" w:cs="黑体"/>
                <w:bCs/>
                <w:color w:val="auto"/>
                <w:sz w:val="32"/>
                <w:szCs w:val="24"/>
                <w:highlight w:val="none"/>
                <w:vertAlign w:val="baseline"/>
              </w:rPr>
            </w:pPr>
            <w:r>
              <w:rPr>
                <w:rFonts w:hint="eastAsia" w:ascii="黑体" w:hAnsi="黑体" w:eastAsia="黑体" w:cs="黑体"/>
                <w:bCs/>
                <w:color w:val="auto"/>
                <w:sz w:val="32"/>
                <w:szCs w:val="24"/>
                <w:highlight w:val="none"/>
                <w:vertAlign w:val="baseline"/>
              </w:rPr>
              <w:t>东莞体育运动学校2021年运动服装及羽毛球器材采购项目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2613" w:type="dxa"/>
            <w:noWrap w:val="0"/>
            <w:vAlign w:val="center"/>
          </w:tcPr>
          <w:p>
            <w:pPr>
              <w:keepNext w:val="0"/>
              <w:keepLines w:val="0"/>
              <w:pageBreakBefore w:val="0"/>
              <w:widowControl/>
              <w:kinsoku/>
              <w:wordWrap/>
              <w:overflowPunct/>
              <w:topLinePunct w:val="0"/>
              <w:autoSpaceDE/>
              <w:autoSpaceDN/>
              <w:bidi w:val="0"/>
              <w:adjustRightInd w:val="0"/>
              <w:snapToGrid w:val="0"/>
              <w:spacing w:before="200" w:after="200" w:line="240" w:lineRule="auto"/>
              <w:jc w:val="both"/>
              <w:textAlignment w:val="auto"/>
              <w:rPr>
                <w:rFonts w:hint="eastAsia" w:ascii="黑体" w:hAnsi="黑体" w:eastAsia="黑体" w:cs="黑体"/>
                <w:bCs/>
                <w:color w:val="auto"/>
                <w:sz w:val="32"/>
                <w:szCs w:val="24"/>
                <w:highlight w:val="none"/>
                <w:vertAlign w:val="baseline"/>
                <w:lang w:eastAsia="zh-CN"/>
              </w:rPr>
            </w:pPr>
            <w:r>
              <w:rPr>
                <w:rFonts w:hint="eastAsia" w:ascii="黑体" w:hAnsi="黑体" w:eastAsia="黑体" w:cs="黑体"/>
                <w:bCs/>
                <w:color w:val="auto"/>
                <w:sz w:val="32"/>
                <w:szCs w:val="24"/>
                <w:highlight w:val="none"/>
                <w:vertAlign w:val="baseline"/>
                <w:lang w:eastAsia="zh-CN"/>
              </w:rPr>
              <w:t>项目采购编号：</w:t>
            </w:r>
          </w:p>
        </w:tc>
        <w:tc>
          <w:tcPr>
            <w:tcW w:w="6203" w:type="dxa"/>
            <w:noWrap w:val="0"/>
            <w:vAlign w:val="center"/>
          </w:tcPr>
          <w:p>
            <w:pPr>
              <w:keepNext w:val="0"/>
              <w:keepLines w:val="0"/>
              <w:pageBreakBefore w:val="0"/>
              <w:widowControl/>
              <w:kinsoku/>
              <w:wordWrap/>
              <w:overflowPunct/>
              <w:topLinePunct w:val="0"/>
              <w:autoSpaceDE/>
              <w:autoSpaceDN/>
              <w:bidi w:val="0"/>
              <w:adjustRightInd w:val="0"/>
              <w:snapToGrid w:val="0"/>
              <w:spacing w:before="200" w:after="200" w:line="240" w:lineRule="auto"/>
              <w:jc w:val="both"/>
              <w:textAlignment w:val="auto"/>
              <w:rPr>
                <w:rFonts w:hint="eastAsia" w:ascii="黑体" w:hAnsi="黑体" w:eastAsia="黑体" w:cs="黑体"/>
                <w:bCs/>
                <w:color w:val="auto"/>
                <w:sz w:val="32"/>
                <w:szCs w:val="24"/>
                <w:highlight w:val="none"/>
                <w:vertAlign w:val="baseline"/>
              </w:rPr>
            </w:pPr>
            <w:r>
              <w:rPr>
                <w:rFonts w:hint="eastAsia" w:ascii="黑体" w:hAnsi="黑体" w:eastAsia="黑体" w:cs="黑体"/>
                <w:bCs/>
                <w:color w:val="auto"/>
                <w:sz w:val="32"/>
                <w:szCs w:val="24"/>
                <w:highlight w:val="none"/>
                <w:vertAlign w:val="baseline"/>
              </w:rPr>
              <w:t>0832-SFCX21DG090A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49" w:hRule="atLeast"/>
        </w:trPr>
        <w:tc>
          <w:tcPr>
            <w:tcW w:w="2613" w:type="dxa"/>
            <w:noWrap w:val="0"/>
            <w:vAlign w:val="center"/>
          </w:tcPr>
          <w:p>
            <w:pPr>
              <w:keepNext w:val="0"/>
              <w:keepLines w:val="0"/>
              <w:pageBreakBefore w:val="0"/>
              <w:widowControl/>
              <w:kinsoku/>
              <w:wordWrap/>
              <w:overflowPunct/>
              <w:topLinePunct w:val="0"/>
              <w:autoSpaceDE/>
              <w:autoSpaceDN/>
              <w:bidi w:val="0"/>
              <w:adjustRightInd w:val="0"/>
              <w:snapToGrid w:val="0"/>
              <w:spacing w:before="200" w:after="200" w:line="240" w:lineRule="auto"/>
              <w:jc w:val="both"/>
              <w:textAlignment w:val="auto"/>
              <w:rPr>
                <w:rFonts w:hint="eastAsia" w:ascii="黑体" w:hAnsi="黑体" w:eastAsia="黑体" w:cs="黑体"/>
                <w:bCs/>
                <w:color w:val="auto"/>
                <w:sz w:val="32"/>
                <w:szCs w:val="24"/>
                <w:highlight w:val="none"/>
                <w:vertAlign w:val="baseline"/>
                <w:lang w:eastAsia="zh-CN"/>
              </w:rPr>
            </w:pPr>
            <w:r>
              <w:rPr>
                <w:rFonts w:hint="eastAsia" w:ascii="黑体" w:hAnsi="黑体" w:eastAsia="黑体" w:cs="黑体"/>
                <w:bCs/>
                <w:color w:val="auto"/>
                <w:sz w:val="32"/>
                <w:szCs w:val="24"/>
                <w:highlight w:val="none"/>
                <w:vertAlign w:val="baseline"/>
                <w:lang w:eastAsia="zh-CN"/>
              </w:rPr>
              <w:t>采购人：</w:t>
            </w:r>
          </w:p>
        </w:tc>
        <w:tc>
          <w:tcPr>
            <w:tcW w:w="6203" w:type="dxa"/>
            <w:noWrap w:val="0"/>
            <w:vAlign w:val="center"/>
          </w:tcPr>
          <w:p>
            <w:pPr>
              <w:keepNext w:val="0"/>
              <w:keepLines w:val="0"/>
              <w:pageBreakBefore w:val="0"/>
              <w:widowControl/>
              <w:kinsoku/>
              <w:wordWrap/>
              <w:overflowPunct/>
              <w:topLinePunct w:val="0"/>
              <w:autoSpaceDE/>
              <w:autoSpaceDN/>
              <w:bidi w:val="0"/>
              <w:adjustRightInd w:val="0"/>
              <w:snapToGrid w:val="0"/>
              <w:spacing w:before="200" w:after="200" w:line="240" w:lineRule="auto"/>
              <w:jc w:val="both"/>
              <w:textAlignment w:val="auto"/>
              <w:rPr>
                <w:rFonts w:hint="eastAsia" w:ascii="黑体" w:hAnsi="黑体" w:eastAsia="黑体" w:cs="黑体"/>
                <w:bCs/>
                <w:color w:val="auto"/>
                <w:sz w:val="32"/>
                <w:szCs w:val="24"/>
                <w:highlight w:val="none"/>
                <w:vertAlign w:val="baseline"/>
              </w:rPr>
            </w:pPr>
            <w:r>
              <w:rPr>
                <w:rFonts w:hint="eastAsia" w:ascii="黑体" w:hAnsi="黑体" w:eastAsia="黑体" w:cs="黑体"/>
                <w:bCs/>
                <w:color w:val="auto"/>
                <w:sz w:val="32"/>
                <w:szCs w:val="24"/>
                <w:highlight w:val="none"/>
                <w:vertAlign w:val="baseline"/>
              </w:rPr>
              <w:t xml:space="preserve">东莞体育运动学校 </w:t>
            </w:r>
          </w:p>
        </w:tc>
      </w:tr>
    </w:tbl>
    <w:p>
      <w:pPr>
        <w:rPr>
          <w:rFonts w:ascii="Arial" w:hAnsi="Arial" w:eastAsia="黑体" w:cs="Arial"/>
          <w:bCs/>
          <w:color w:val="auto"/>
          <w:sz w:val="28"/>
          <w:highlight w:val="none"/>
        </w:rPr>
      </w:pPr>
      <w:r>
        <w:rPr>
          <w:rFonts w:hint="eastAsia" w:ascii="Arial" w:hAnsi="Arial" w:eastAsia="黑体" w:cs="Arial"/>
          <w:bCs/>
          <w:color w:val="auto"/>
          <w:sz w:val="28"/>
          <w:highlight w:val="none"/>
        </w:rPr>
        <w:t xml:space="preserve"> </w:t>
      </w:r>
    </w:p>
    <w:p>
      <w:pPr>
        <w:jc w:val="both"/>
        <w:rPr>
          <w:rFonts w:ascii="黑体" w:eastAsia="黑体"/>
          <w:color w:val="auto"/>
          <w:szCs w:val="21"/>
          <w:highlight w:val="none"/>
        </w:rPr>
      </w:pPr>
    </w:p>
    <w:p>
      <w:pPr>
        <w:jc w:val="center"/>
        <w:rPr>
          <w:rFonts w:ascii="黑体" w:eastAsia="黑体"/>
          <w:color w:val="auto"/>
          <w:szCs w:val="21"/>
          <w:highlight w:val="none"/>
        </w:rPr>
      </w:pPr>
    </w:p>
    <w:p>
      <w:pPr>
        <w:jc w:val="both"/>
        <w:rPr>
          <w:rFonts w:ascii="黑体" w:eastAsia="黑体"/>
          <w:color w:val="auto"/>
          <w:szCs w:val="21"/>
          <w:highlight w:val="none"/>
        </w:rPr>
      </w:pPr>
    </w:p>
    <w:p>
      <w:pPr>
        <w:jc w:val="center"/>
        <w:rPr>
          <w:rFonts w:hint="eastAsia" w:ascii="黑体" w:eastAsia="黑体"/>
          <w:color w:val="auto"/>
          <w:sz w:val="52"/>
          <w:szCs w:val="44"/>
          <w:highlight w:val="none"/>
          <w:lang w:eastAsia="zh-CN"/>
        </w:rPr>
      </w:pPr>
      <w:r>
        <w:rPr>
          <w:rFonts w:hint="eastAsia" w:ascii="黑体" w:eastAsia="黑体"/>
          <w:color w:val="auto"/>
          <w:sz w:val="52"/>
          <w:szCs w:val="44"/>
          <w:highlight w:val="none"/>
          <w:lang w:eastAsia="zh-CN"/>
        </w:rPr>
        <w:t>三方诚信招标有限公司</w:t>
      </w:r>
    </w:p>
    <w:p>
      <w:pPr>
        <w:jc w:val="center"/>
        <w:rPr>
          <w:rFonts w:ascii="黑体" w:eastAsia="黑体"/>
          <w:color w:val="auto"/>
          <w:sz w:val="52"/>
          <w:szCs w:val="44"/>
          <w:highlight w:val="none"/>
        </w:rPr>
      </w:pPr>
      <w:r>
        <w:rPr>
          <w:rFonts w:hint="eastAsia" w:ascii="黑体" w:eastAsia="黑体"/>
          <w:color w:val="auto"/>
          <w:sz w:val="52"/>
          <w:szCs w:val="44"/>
          <w:highlight w:val="none"/>
        </w:rPr>
        <w:t>东莞分公司</w:t>
      </w:r>
    </w:p>
    <w:p>
      <w:pPr>
        <w:pStyle w:val="15"/>
        <w:rPr>
          <w:color w:val="auto"/>
          <w:sz w:val="32"/>
          <w:szCs w:val="32"/>
          <w:highlight w:val="none"/>
        </w:rPr>
        <w:sectPr>
          <w:headerReference r:id="rId4" w:type="default"/>
          <w:pgSz w:w="11906" w:h="16838"/>
          <w:pgMar w:top="1440" w:right="1800" w:bottom="1440" w:left="1800" w:header="708" w:footer="708" w:gutter="0"/>
          <w:pgNumType w:start="0"/>
          <w:cols w:space="708" w:num="1"/>
          <w:titlePg/>
          <w:docGrid w:type="lines" w:linePitch="360" w:charSpace="0"/>
        </w:sectPr>
      </w:pPr>
    </w:p>
    <w:p>
      <w:pPr>
        <w:pStyle w:val="15"/>
        <w:rPr>
          <w:color w:val="auto"/>
          <w:sz w:val="40"/>
          <w:szCs w:val="40"/>
          <w:highlight w:val="none"/>
        </w:rPr>
      </w:pPr>
      <w:r>
        <w:rPr>
          <w:rFonts w:hint="eastAsia"/>
          <w:color w:val="auto"/>
          <w:sz w:val="40"/>
          <w:szCs w:val="40"/>
          <w:highlight w:val="none"/>
        </w:rPr>
        <w:t>目录</w:t>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TOC \o "1-4" \h \z \u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_Toc17720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投标邀请书</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_Toc17720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_Toc1854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第二部分 相关资料表格</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_Toc1854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_Toc1210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附表一：投标资料表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_Toc1210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_Toc11083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附表二：商务技术评分及价格权重表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_Toc11083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_Toc23932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第三部分 用户需求书</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_Toc23932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_Toc3182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用户需求明细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_Toc3182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_Toc18811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第四部分 投标人须知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_Toc18811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_Toc9559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一、 说明</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_Toc9559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_Toc18092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1.适用范围</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_Toc18092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_Toc14885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2.定义</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_Toc14885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_Toc14014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3.货物和服务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_Toc14014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_Toc25490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4.投标费用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_Toc25490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_Toc15919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5.知识产权</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_Toc15919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_Toc28736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6.关于联合体投标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_Toc28736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_Toc9408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7.关于分支机构投标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_Toc9408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_Toc13781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二、 招标文件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_Toc13781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_Toc2761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8.招标文件的组成</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_Toc2761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_Toc30594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9.招标文件的澄清或修改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_Toc30594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_Toc8709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三、 投标文件的编制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_Toc8709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_Toc30245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10.投标文件的语言及度量衡单位</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_Toc30245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_Toc19904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11.投标文件的组成</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_Toc19904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_Toc7724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12.投标文件编制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_Toc7724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_Toc28060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13.投标报价说明</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_Toc28060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_Toc10722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14.投标人所提供的服务或货物的证明文件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_Toc10722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_Toc28478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15.投标有效期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_Toc28478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_Toc718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16.投标保证金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_Toc718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_Toc26276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四、投标文件的递交</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_Toc26276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_Toc17218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17.投标文件的装订，签署，密封和标记</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_Toc17218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_Toc10743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18.迟交的投标文件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_Toc10743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_Toc348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19.投标样品（如需提交）</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_Toc348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_Toc5391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20.投标截止期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_Toc5391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_Toc5886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21.投标文件的补充、修改与撤回</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_Toc5886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_Toc31243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五、 开标与评标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_Toc31243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_Toc30340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22.开标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_Toc30340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_Toc12198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23.评标委员会及评标方法</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_Toc12198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_Toc23115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24.评审原则及评标过程的保密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_Toc23115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_Toc29486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25.投标文件的初审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_Toc29486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_Toc19775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26.商务、技术、价格评审（具体评审项目详见投标资料表）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_Toc19775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_Toc17229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27.优惠政策</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_Toc17229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_Toc15628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28.纪律和保密事项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_Toc15628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_Toc16902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六、 授予合同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_Toc16902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_Toc2727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29.合同授予标准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_Toc2727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_Toc24457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30.发布中标结果</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_Toc24457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_Toc29766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31.合同的签订与履行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_Toc29766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_Toc23764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32.履约保证金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_Toc23764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_Toc19464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七、 询问或质疑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_Toc19464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_Toc27711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33.询问</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_Toc27711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_Toc18644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34.质疑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_Toc18644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_Toc10071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八、 其他</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_Toc10071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_Toc27449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35.招标文件的解释权</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_Toc27449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_Toc3263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第五部分 合同格式（仅供参考）</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_Toc3263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_Toc32348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合同格式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_Toc32348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5"/>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_Toc3566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第六部分  附件－投标文件格式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_Toc3566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_Toc15661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附件1.投标文件目录</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_Toc15661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_Toc13312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附件1-1 评分标准索引表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_Toc13312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_Toc9857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附件2.投标书格式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_Toc9857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_Toc23548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附件3.开标一览表格式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_Toc23548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_Toc7877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附件4. 投标分项报价表格式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_Toc7877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_Toc20013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附件5. 法定代表人证明书格式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_Toc20013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_Toc13402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附件6.法定代表人授权书格式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_Toc13402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_Toc20880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附件7.资格申明</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_Toc20880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_Toc17384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附件8.营业执照</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_Toc17384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_Toc9057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附件9.相关资质证明文件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_Toc9057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_Toc25635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附件10. 商务条款偏离表格式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_Toc25635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_Toc15430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附件11. 技术规格偏离表格式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_Toc15430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_Toc31958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附件12.重要技术参数（▲）响应表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_Toc31958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_Toc26041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附件13.业绩表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_Toc26041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_Toc11366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附件14. 项目实施方案格式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_Toc11366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_Toc9262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附件15. 实施本项目的有关人员资料表格式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_Toc9262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_Toc30553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附件16.投标货物说明一览表格式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_Toc30553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_Toc13438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附件17.在经营活动中没有重大违法记录的书面声明格式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_Toc13438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_Toc26259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附件18.中小企业声明函（投标人为中小企业时适用）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_Toc26259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_Toc11132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附件19.《残疾人福利性单位声明函》（残疾人福利性单位适用）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_Toc11132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_Toc17460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附件20.投标保证金汇入情况说明格式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_Toc17460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cs="宋体"/>
          <w:color w:val="auto"/>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_Toc8186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附件2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.获取招标文件登记表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_Toc8186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宋体" w:hAnsi="宋体" w:eastAsia="宋体" w:cs="宋体"/>
          <w:color w:val="auto"/>
          <w:szCs w:val="21"/>
          <w:highlight w:val="none"/>
        </w:rPr>
      </w:pPr>
      <w:r>
        <w:rPr>
          <w:rFonts w:hint="eastAsia" w:ascii="宋体" w:hAnsi="宋体" w:eastAsia="宋体" w:cs="宋体"/>
          <w:color w:val="auto"/>
          <w:szCs w:val="21"/>
          <w:highlight w:val="none"/>
        </w:rPr>
        <w:br w:type="page"/>
      </w:r>
    </w:p>
    <w:p>
      <w:pPr>
        <w:pStyle w:val="15"/>
        <w:tabs>
          <w:tab w:val="right" w:leader="dot" w:pos="8306"/>
          <w:tab w:val="clear" w:pos="8296"/>
        </w:tabs>
        <w:spacing w:line="240" w:lineRule="auto"/>
        <w:ind w:left="0" w:leftChars="0"/>
        <w:jc w:val="both"/>
        <w:rPr>
          <w:rFonts w:asciiTheme="majorHAnsi" w:hAnsiTheme="majorHAnsi" w:eastAsiaTheme="majorEastAsia" w:cstheme="majorBidi"/>
          <w:b/>
          <w:bCs/>
          <w:color w:val="auto"/>
          <w:sz w:val="28"/>
          <w:szCs w:val="28"/>
          <w:highlight w:val="none"/>
        </w:rPr>
      </w:pPr>
      <w:r>
        <w:rPr>
          <w:rFonts w:hint="eastAsia" w:asciiTheme="majorHAnsi" w:hAnsiTheme="majorHAnsi" w:eastAsiaTheme="majorEastAsia" w:cstheme="majorBidi"/>
          <w:b/>
          <w:bCs/>
          <w:color w:val="auto"/>
          <w:sz w:val="28"/>
          <w:szCs w:val="28"/>
          <w:highlight w:val="none"/>
        </w:rPr>
        <w:t>第一部分 投标邀请</w:t>
      </w:r>
    </w:p>
    <w:p>
      <w:pPr>
        <w:pStyle w:val="4"/>
        <w:spacing w:before="0" w:after="0" w:line="360" w:lineRule="auto"/>
        <w:jc w:val="center"/>
        <w:rPr>
          <w:rFonts w:ascii="宋体" w:hAnsi="宋体" w:eastAsia="宋体" w:cs="宋体"/>
          <w:color w:val="auto"/>
          <w:highlight w:val="none"/>
        </w:rPr>
      </w:pPr>
      <w:bookmarkStart w:id="0" w:name="_Toc17720"/>
      <w:r>
        <w:rPr>
          <w:rFonts w:hint="eastAsia" w:ascii="宋体" w:hAnsi="宋体" w:eastAsia="宋体" w:cs="宋体"/>
          <w:color w:val="auto"/>
          <w:highlight w:val="none"/>
        </w:rPr>
        <w:t>投标邀请书</w:t>
      </w:r>
      <w:bookmarkEnd w:id="0"/>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三方诚信招标有限公司</w:t>
      </w:r>
      <w:r>
        <w:rPr>
          <w:rFonts w:hint="eastAsia" w:ascii="宋体" w:hAnsi="宋体" w:eastAsia="宋体"/>
          <w:color w:val="auto"/>
          <w:sz w:val="21"/>
          <w:szCs w:val="21"/>
          <w:highlight w:val="none"/>
        </w:rPr>
        <w:t>东莞分公司</w:t>
      </w:r>
      <w:r>
        <w:rPr>
          <w:rFonts w:ascii="宋体" w:hAnsi="宋体" w:eastAsia="宋体"/>
          <w:color w:val="auto"/>
          <w:sz w:val="21"/>
          <w:szCs w:val="21"/>
          <w:highlight w:val="none"/>
        </w:rPr>
        <w:t>（以下简称</w:t>
      </w:r>
      <w:r>
        <w:rPr>
          <w:rFonts w:hint="eastAsia" w:ascii="宋体" w:hAnsi="宋体" w:eastAsia="宋体"/>
          <w:color w:val="auto"/>
          <w:sz w:val="21"/>
          <w:szCs w:val="21"/>
          <w:highlight w:val="none"/>
        </w:rPr>
        <w:t>“采购代理机构”</w:t>
      </w:r>
      <w:r>
        <w:rPr>
          <w:rFonts w:ascii="宋体" w:hAnsi="宋体" w:eastAsia="宋体"/>
          <w:color w:val="auto"/>
          <w:sz w:val="21"/>
          <w:szCs w:val="21"/>
          <w:highlight w:val="none"/>
        </w:rPr>
        <w:t>）受</w:t>
      </w:r>
      <w:r>
        <w:rPr>
          <w:rFonts w:hint="eastAsia" w:ascii="宋体" w:hAnsi="宋体" w:eastAsia="宋体"/>
          <w:b/>
          <w:color w:val="auto"/>
          <w:sz w:val="21"/>
          <w:szCs w:val="21"/>
          <w:highlight w:val="none"/>
          <w:u w:val="single"/>
        </w:rPr>
        <w:t>东莞体育运动学校</w:t>
      </w:r>
      <w:r>
        <w:rPr>
          <w:rFonts w:ascii="宋体" w:hAnsi="宋体" w:eastAsia="宋体"/>
          <w:color w:val="auto"/>
          <w:sz w:val="21"/>
          <w:szCs w:val="21"/>
          <w:highlight w:val="none"/>
        </w:rPr>
        <w:t>（以下简称</w:t>
      </w:r>
      <w:r>
        <w:rPr>
          <w:rFonts w:hint="eastAsia" w:ascii="宋体" w:hAnsi="宋体" w:eastAsia="宋体"/>
          <w:color w:val="auto"/>
          <w:sz w:val="21"/>
          <w:szCs w:val="21"/>
          <w:highlight w:val="none"/>
        </w:rPr>
        <w:t>“采购人”</w:t>
      </w:r>
      <w:r>
        <w:rPr>
          <w:rFonts w:ascii="宋体" w:hAnsi="宋体" w:eastAsia="宋体"/>
          <w:color w:val="auto"/>
          <w:sz w:val="21"/>
          <w:szCs w:val="21"/>
          <w:highlight w:val="none"/>
        </w:rPr>
        <w:t>）委托，</w:t>
      </w:r>
      <w:r>
        <w:rPr>
          <w:rFonts w:hint="eastAsia" w:ascii="宋体" w:hAnsi="宋体" w:eastAsia="宋体"/>
          <w:color w:val="auto"/>
          <w:sz w:val="21"/>
          <w:szCs w:val="21"/>
          <w:highlight w:val="none"/>
        </w:rPr>
        <w:t>现</w:t>
      </w:r>
      <w:r>
        <w:rPr>
          <w:rFonts w:ascii="宋体" w:hAnsi="宋体" w:eastAsia="宋体"/>
          <w:color w:val="auto"/>
          <w:sz w:val="21"/>
          <w:szCs w:val="21"/>
          <w:highlight w:val="none"/>
        </w:rPr>
        <w:t>就</w:t>
      </w:r>
      <w:r>
        <w:rPr>
          <w:rFonts w:hint="eastAsia" w:ascii="宋体" w:hAnsi="宋体" w:eastAsia="宋体"/>
          <w:b/>
          <w:color w:val="auto"/>
          <w:sz w:val="21"/>
          <w:szCs w:val="21"/>
          <w:highlight w:val="none"/>
          <w:u w:val="single"/>
        </w:rPr>
        <w:t>东莞体育运动学校2021年运动服装及羽毛球器材采购项目</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eastAsia="zh-CN"/>
        </w:rPr>
        <w:t>采购项目编号</w:t>
      </w:r>
      <w:r>
        <w:rPr>
          <w:rFonts w:hint="eastAsia" w:ascii="宋体" w:hAnsi="宋体" w:eastAsia="宋体"/>
          <w:color w:val="auto"/>
          <w:sz w:val="21"/>
          <w:szCs w:val="21"/>
          <w:highlight w:val="none"/>
        </w:rPr>
        <w:t>：</w:t>
      </w:r>
      <w:r>
        <w:rPr>
          <w:rFonts w:hint="eastAsia" w:ascii="宋体" w:hAnsi="宋体" w:eastAsia="宋体"/>
          <w:b/>
          <w:color w:val="auto"/>
          <w:sz w:val="21"/>
          <w:szCs w:val="21"/>
          <w:highlight w:val="none"/>
          <w:u w:val="single"/>
        </w:rPr>
        <w:t>0832-SFCX21DG090A</w:t>
      </w:r>
      <w:r>
        <w:rPr>
          <w:rFonts w:hint="eastAsia" w:ascii="宋体" w:hAnsi="宋体" w:eastAsia="宋体"/>
          <w:color w:val="auto"/>
          <w:sz w:val="21"/>
          <w:szCs w:val="21"/>
          <w:highlight w:val="none"/>
        </w:rPr>
        <w:t>）</w:t>
      </w:r>
      <w:r>
        <w:rPr>
          <w:rFonts w:hint="eastAsia" w:ascii="宋体" w:hAnsi="宋体" w:eastAsia="宋体" w:cs="Times New Roman"/>
          <w:color w:val="auto"/>
          <w:sz w:val="21"/>
          <w:szCs w:val="21"/>
          <w:highlight w:val="none"/>
        </w:rPr>
        <w:t>进行国内公开招标采购</w:t>
      </w:r>
      <w:r>
        <w:rPr>
          <w:rFonts w:hint="eastAsia" w:ascii="宋体" w:hAnsi="宋体" w:eastAsia="宋体"/>
          <w:color w:val="auto"/>
          <w:sz w:val="21"/>
          <w:szCs w:val="21"/>
          <w:highlight w:val="none"/>
        </w:rPr>
        <w:t>，欢迎符合招标文件要求的国内投标人参加投标</w:t>
      </w:r>
      <w:r>
        <w:rPr>
          <w:rFonts w:ascii="宋体" w:hAnsi="宋体" w:eastAsia="宋体"/>
          <w:color w:val="auto"/>
          <w:sz w:val="21"/>
          <w:szCs w:val="21"/>
          <w:highlight w:val="none"/>
        </w:rPr>
        <w:t>。有关事项如下：</w:t>
      </w:r>
    </w:p>
    <w:p>
      <w:pPr>
        <w:keepNext w:val="0"/>
        <w:keepLines w:val="0"/>
        <w:pageBreakBefore w:val="0"/>
        <w:widowControl/>
        <w:kinsoku/>
        <w:wordWrap/>
        <w:overflowPunct/>
        <w:topLinePunct w:val="0"/>
        <w:autoSpaceDE/>
        <w:autoSpaceDN/>
        <w:bidi w:val="0"/>
        <w:adjustRightInd w:val="0"/>
        <w:snapToGrid w:val="0"/>
        <w:spacing w:after="0" w:line="360" w:lineRule="auto"/>
        <w:ind w:firstLine="413" w:firstLineChars="196"/>
        <w:textAlignment w:val="auto"/>
        <w:rPr>
          <w:rFonts w:ascii="宋体" w:hAnsi="宋体" w:eastAsia="宋体"/>
          <w:b/>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ind w:firstLine="413" w:firstLineChars="196"/>
        <w:textAlignment w:val="auto"/>
        <w:rPr>
          <w:rFonts w:ascii="宋体" w:hAnsi="宋体" w:eastAsia="宋体"/>
          <w:b/>
          <w:color w:val="auto"/>
          <w:sz w:val="21"/>
          <w:szCs w:val="21"/>
          <w:highlight w:val="none"/>
        </w:rPr>
      </w:pPr>
      <w:r>
        <w:rPr>
          <w:rFonts w:hint="eastAsia" w:ascii="宋体" w:hAnsi="宋体" w:eastAsia="宋体"/>
          <w:b/>
          <w:color w:val="auto"/>
          <w:sz w:val="21"/>
          <w:szCs w:val="21"/>
          <w:highlight w:val="none"/>
        </w:rPr>
        <w:t>一、招标项目的名称、用途、简要技术要求或者招标项目的性质</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1、项目内容：</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4198"/>
        <w:gridCol w:w="3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noWrap w:val="0"/>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包号</w:t>
            </w:r>
          </w:p>
        </w:tc>
        <w:tc>
          <w:tcPr>
            <w:tcW w:w="4198" w:type="dxa"/>
            <w:noWrap w:val="0"/>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项目</w:t>
            </w:r>
            <w:r>
              <w:rPr>
                <w:rFonts w:hint="eastAsia" w:ascii="宋体" w:hAnsi="宋体" w:eastAsia="宋体" w:cs="宋体"/>
                <w:color w:val="auto"/>
                <w:sz w:val="21"/>
                <w:szCs w:val="21"/>
                <w:highlight w:val="none"/>
                <w:lang w:val="en-US"/>
              </w:rPr>
              <w:t>内容</w:t>
            </w:r>
          </w:p>
        </w:tc>
        <w:tc>
          <w:tcPr>
            <w:tcW w:w="3006" w:type="dxa"/>
            <w:noWrap w:val="0"/>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noWrap w:val="0"/>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包</w:t>
            </w:r>
            <w:r>
              <w:rPr>
                <w:rFonts w:hint="eastAsia" w:ascii="宋体" w:hAnsi="宋体" w:eastAsia="宋体" w:cs="宋体"/>
                <w:color w:val="auto"/>
                <w:sz w:val="21"/>
                <w:szCs w:val="21"/>
                <w:highlight w:val="none"/>
                <w:lang w:val="en-US" w:eastAsia="zh-CN"/>
              </w:rPr>
              <w:t>A</w:t>
            </w:r>
          </w:p>
        </w:tc>
        <w:tc>
          <w:tcPr>
            <w:tcW w:w="4198" w:type="dxa"/>
            <w:noWrap w:val="0"/>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运动服装</w:t>
            </w:r>
          </w:p>
        </w:tc>
        <w:tc>
          <w:tcPr>
            <w:tcW w:w="3006" w:type="dxa"/>
            <w:noWrap w:val="0"/>
            <w:vAlign w:val="center"/>
          </w:tcPr>
          <w:p>
            <w:pPr>
              <w:pStyle w:val="2"/>
              <w:keepNext w:val="0"/>
              <w:keepLines w:val="0"/>
              <w:pageBreakBefore w:val="0"/>
              <w:widowControl w:val="0"/>
              <w:kinsoku/>
              <w:wordWrap/>
              <w:overflowPunct/>
              <w:topLinePunct w:val="0"/>
              <w:autoSpaceDE/>
              <w:autoSpaceDN/>
              <w:bidi w:val="0"/>
              <w:adjustRightInd/>
              <w:snapToGrid/>
              <w:ind w:left="120" w:leftChars="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rPr>
              <w:t>¥</w:t>
            </w:r>
            <w:r>
              <w:rPr>
                <w:rFonts w:hint="eastAsia" w:cs="宋体"/>
                <w:color w:val="auto"/>
                <w:sz w:val="21"/>
                <w:szCs w:val="21"/>
                <w:highlight w:val="none"/>
                <w:lang w:val="en-US" w:eastAsia="zh-CN"/>
              </w:rPr>
              <w:t>470,000.00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8" w:type="dxa"/>
            <w:noWrap w:val="0"/>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包</w:t>
            </w:r>
            <w:r>
              <w:rPr>
                <w:rFonts w:hint="eastAsia" w:ascii="宋体" w:hAnsi="宋体" w:eastAsia="宋体" w:cs="宋体"/>
                <w:color w:val="auto"/>
                <w:sz w:val="21"/>
                <w:szCs w:val="21"/>
                <w:highlight w:val="none"/>
                <w:lang w:val="en-US" w:eastAsia="zh-CN"/>
              </w:rPr>
              <w:t>B</w:t>
            </w:r>
          </w:p>
        </w:tc>
        <w:tc>
          <w:tcPr>
            <w:tcW w:w="4198" w:type="dxa"/>
            <w:noWrap w:val="0"/>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羽毛球器材</w:t>
            </w:r>
          </w:p>
        </w:tc>
        <w:tc>
          <w:tcPr>
            <w:tcW w:w="3006" w:type="dxa"/>
            <w:noWrap w:val="0"/>
            <w:vAlign w:val="center"/>
          </w:tcPr>
          <w:p>
            <w:pPr>
              <w:pStyle w:val="2"/>
              <w:keepNext w:val="0"/>
              <w:keepLines w:val="0"/>
              <w:pageBreakBefore w:val="0"/>
              <w:widowControl w:val="0"/>
              <w:kinsoku/>
              <w:wordWrap/>
              <w:overflowPunct/>
              <w:topLinePunct w:val="0"/>
              <w:autoSpaceDE/>
              <w:autoSpaceDN/>
              <w:bidi w:val="0"/>
              <w:adjustRightInd/>
              <w:snapToGrid/>
              <w:ind w:left="120" w:leftChars="0"/>
              <w:jc w:val="center"/>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w:t>
            </w:r>
            <w:r>
              <w:rPr>
                <w:rFonts w:hint="eastAsia" w:cs="宋体"/>
                <w:color w:val="auto"/>
                <w:sz w:val="21"/>
                <w:szCs w:val="21"/>
                <w:highlight w:val="none"/>
                <w:lang w:val="en-US" w:eastAsia="zh-CN"/>
              </w:rPr>
              <w:t>350,000.00</w:t>
            </w:r>
          </w:p>
        </w:tc>
      </w:tr>
    </w:tbl>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2、简要技术要求或招标项目的性质：详细内容请参阅招标文件第三部分《用户需求书》。</w:t>
      </w:r>
    </w:p>
    <w:p>
      <w:pPr>
        <w:keepNext w:val="0"/>
        <w:keepLines w:val="0"/>
        <w:pageBreakBefore w:val="0"/>
        <w:widowControl/>
        <w:kinsoku/>
        <w:wordWrap/>
        <w:overflowPunct/>
        <w:topLinePunct w:val="0"/>
        <w:autoSpaceDE/>
        <w:autoSpaceDN/>
        <w:bidi w:val="0"/>
        <w:adjustRightInd w:val="0"/>
        <w:snapToGrid w:val="0"/>
        <w:spacing w:after="0" w:line="360" w:lineRule="auto"/>
        <w:ind w:firstLine="413" w:firstLineChars="196"/>
        <w:textAlignment w:val="auto"/>
        <w:rPr>
          <w:rFonts w:ascii="宋体" w:hAnsi="宋体" w:eastAsia="宋体"/>
          <w:b/>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ind w:firstLine="413" w:firstLineChars="196"/>
        <w:textAlignment w:val="auto"/>
        <w:rPr>
          <w:rFonts w:ascii="宋体" w:hAnsi="宋体" w:eastAsia="宋体"/>
          <w:b/>
          <w:color w:val="auto"/>
          <w:sz w:val="21"/>
          <w:szCs w:val="21"/>
          <w:highlight w:val="none"/>
        </w:rPr>
      </w:pPr>
      <w:r>
        <w:rPr>
          <w:rFonts w:hint="eastAsia" w:ascii="宋体" w:hAnsi="宋体" w:eastAsia="宋体"/>
          <w:b/>
          <w:color w:val="auto"/>
          <w:sz w:val="21"/>
          <w:szCs w:val="21"/>
          <w:highlight w:val="none"/>
        </w:rPr>
        <w:t>二、投标人资格要求</w:t>
      </w:r>
    </w:p>
    <w:p>
      <w:pPr>
        <w:keepNext w:val="0"/>
        <w:keepLines w:val="0"/>
        <w:pageBreakBefore w:val="0"/>
        <w:widowControl/>
        <w:kinsoku/>
        <w:wordWrap/>
        <w:overflowPunct/>
        <w:topLinePunct w:val="0"/>
        <w:autoSpaceDE/>
        <w:autoSpaceDN/>
        <w:bidi w:val="0"/>
        <w:adjustRightInd w:val="0"/>
        <w:snapToGrid w:val="0"/>
        <w:spacing w:after="0" w:line="360" w:lineRule="auto"/>
        <w:ind w:firstLine="411" w:firstLineChars="196"/>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1、一般要求：</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（1）须符合《中华人民共和国政府采购法》第二十二条规定（需提供书面承诺）；</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（2）参加采购活动前三年内，在经营活动中没有重大违法记录（须提供书面声明）；</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3）本项目不接受联合体投标；投标人的单位负责人为同一人或者存在直接控股、管理关系的不同投标人，不得参加同一合同项下的政府采购活动。为本项目提供整体设计、规范编制或者项目管理、监理、检测等服务的投标人，不得参加本采购项目的采购活动； </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（4）未被列入“信用中国”网站(www.creditchina.gov.cn )“记录失信被执行人或重大税收违法案件当事人名单或政府采购严重违法失信行为”记录名单；不处于中国政府采购网(www.ccgp.gov.cn )“政府采购严重违法失信行为信息记录”中的禁止参加政府采购活动期间。以代理机构于投标截止日当天在“信用中国”网站及中国政府采购网查询结果为准，如相关失信记录已失效，投标人需提供相关证明资料。</w:t>
      </w:r>
    </w:p>
    <w:p>
      <w:pPr>
        <w:keepNext w:val="0"/>
        <w:keepLines w:val="0"/>
        <w:pageBreakBefore w:val="0"/>
        <w:widowControl/>
        <w:kinsoku/>
        <w:wordWrap/>
        <w:overflowPunct/>
        <w:topLinePunct w:val="0"/>
        <w:autoSpaceDE/>
        <w:autoSpaceDN/>
        <w:bidi w:val="0"/>
        <w:adjustRightInd w:val="0"/>
        <w:snapToGrid w:val="0"/>
        <w:spacing w:after="0" w:line="360" w:lineRule="auto"/>
        <w:ind w:firstLine="411" w:firstLineChars="196"/>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2、特殊要求：</w:t>
      </w:r>
    </w:p>
    <w:p>
      <w:pPr>
        <w:keepNext w:val="0"/>
        <w:keepLines w:val="0"/>
        <w:pageBreakBefore w:val="0"/>
        <w:widowControl/>
        <w:kinsoku/>
        <w:wordWrap/>
        <w:overflowPunct/>
        <w:topLinePunct w:val="0"/>
        <w:autoSpaceDE/>
        <w:autoSpaceDN/>
        <w:bidi w:val="0"/>
        <w:adjustRightInd w:val="0"/>
        <w:snapToGrid w:val="0"/>
        <w:spacing w:after="0" w:line="360" w:lineRule="auto"/>
        <w:ind w:firstLine="411" w:firstLineChars="196"/>
        <w:textAlignment w:val="auto"/>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eastAsia="zh-CN"/>
        </w:rPr>
        <w:t>无。</w:t>
      </w:r>
    </w:p>
    <w:p>
      <w:pPr>
        <w:keepNext w:val="0"/>
        <w:keepLines w:val="0"/>
        <w:pageBreakBefore w:val="0"/>
        <w:widowControl/>
        <w:kinsoku/>
        <w:wordWrap/>
        <w:overflowPunct/>
        <w:topLinePunct w:val="0"/>
        <w:autoSpaceDE/>
        <w:autoSpaceDN/>
        <w:bidi w:val="0"/>
        <w:adjustRightInd w:val="0"/>
        <w:snapToGrid w:val="0"/>
        <w:spacing w:after="0" w:line="360" w:lineRule="auto"/>
        <w:ind w:firstLine="413" w:firstLineChars="196"/>
        <w:textAlignment w:val="auto"/>
        <w:rPr>
          <w:rFonts w:ascii="宋体" w:hAnsi="宋体" w:eastAsia="宋体"/>
          <w:b/>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ind w:firstLine="413" w:firstLineChars="196"/>
        <w:textAlignment w:val="auto"/>
        <w:rPr>
          <w:rFonts w:ascii="宋体" w:hAnsi="宋体" w:eastAsia="宋体"/>
          <w:b/>
          <w:color w:val="auto"/>
          <w:sz w:val="21"/>
          <w:szCs w:val="21"/>
          <w:highlight w:val="none"/>
        </w:rPr>
      </w:pPr>
      <w:r>
        <w:rPr>
          <w:rFonts w:hint="eastAsia" w:ascii="宋体" w:hAnsi="宋体" w:eastAsia="宋体"/>
          <w:b/>
          <w:color w:val="auto"/>
          <w:sz w:val="21"/>
          <w:szCs w:val="21"/>
          <w:highlight w:val="none"/>
        </w:rPr>
        <w:t>三、项目公示时间、报名时间、地点、方式及招标文件售价</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1、项目公示时间：</w:t>
      </w:r>
      <w:r>
        <w:rPr>
          <w:rFonts w:hint="eastAsia" w:ascii="宋体" w:hAnsi="宋体" w:eastAsia="宋体"/>
          <w:color w:val="auto"/>
          <w:sz w:val="21"/>
          <w:szCs w:val="21"/>
          <w:highlight w:val="none"/>
          <w:lang w:eastAsia="zh-CN"/>
        </w:rPr>
        <w:t>2021</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lang w:val="en-US" w:eastAsia="zh-CN"/>
        </w:rPr>
        <w:t>5</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lang w:val="en-US" w:eastAsia="zh-CN"/>
        </w:rPr>
        <w:t>27</w:t>
      </w:r>
      <w:r>
        <w:rPr>
          <w:rFonts w:hint="eastAsia" w:ascii="宋体" w:hAnsi="宋体" w:eastAsia="宋体"/>
          <w:color w:val="auto"/>
          <w:sz w:val="21"/>
          <w:szCs w:val="21"/>
          <w:highlight w:val="none"/>
        </w:rPr>
        <w:t>日起至</w:t>
      </w:r>
      <w:r>
        <w:rPr>
          <w:rFonts w:hint="eastAsia" w:ascii="宋体" w:hAnsi="宋体" w:eastAsia="宋体"/>
          <w:color w:val="auto"/>
          <w:sz w:val="21"/>
          <w:szCs w:val="21"/>
          <w:highlight w:val="none"/>
          <w:lang w:eastAsia="zh-CN"/>
        </w:rPr>
        <w:t>2021</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lang w:val="en-US" w:eastAsia="zh-CN"/>
        </w:rPr>
        <w:t>6</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rPr>
        <w:t>日。</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2、报名</w:t>
      </w:r>
      <w:r>
        <w:rPr>
          <w:rFonts w:ascii="宋体" w:hAnsi="宋体" w:eastAsia="宋体"/>
          <w:color w:val="auto"/>
          <w:sz w:val="21"/>
          <w:szCs w:val="21"/>
          <w:highlight w:val="none"/>
        </w:rPr>
        <w:t>时间：</w:t>
      </w:r>
      <w:r>
        <w:rPr>
          <w:rFonts w:hint="eastAsia" w:ascii="宋体" w:hAnsi="宋体" w:eastAsia="宋体"/>
          <w:color w:val="auto"/>
          <w:sz w:val="21"/>
          <w:szCs w:val="21"/>
          <w:highlight w:val="none"/>
          <w:lang w:eastAsia="zh-CN"/>
        </w:rPr>
        <w:t>2021</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lang w:val="en-US" w:eastAsia="zh-CN"/>
        </w:rPr>
        <w:t>5</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lang w:val="en-US" w:eastAsia="zh-CN"/>
        </w:rPr>
        <w:t>27</w:t>
      </w:r>
      <w:r>
        <w:rPr>
          <w:rFonts w:hint="eastAsia" w:ascii="宋体" w:hAnsi="宋体" w:eastAsia="宋体"/>
          <w:color w:val="auto"/>
          <w:sz w:val="21"/>
          <w:szCs w:val="21"/>
          <w:highlight w:val="none"/>
        </w:rPr>
        <w:t>日起至</w:t>
      </w:r>
      <w:r>
        <w:rPr>
          <w:rFonts w:hint="eastAsia" w:ascii="宋体" w:hAnsi="宋体" w:eastAsia="宋体"/>
          <w:color w:val="auto"/>
          <w:sz w:val="21"/>
          <w:szCs w:val="21"/>
          <w:highlight w:val="none"/>
          <w:lang w:eastAsia="zh-CN"/>
        </w:rPr>
        <w:t>2021</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lang w:val="en-US" w:eastAsia="zh-CN"/>
        </w:rPr>
        <w:t>6</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rPr>
        <w:t>日（节假日除外），上午9：00～12：00，下午14：</w:t>
      </w: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rPr>
        <w:t>0～17：</w:t>
      </w: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rPr>
        <w:t xml:space="preserve">0（北京时间）。 </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3、项目报名地点：东莞市南城街道鸿福西路81号国际商会大厦</w:t>
      </w:r>
      <w:r>
        <w:rPr>
          <w:rFonts w:hint="eastAsia" w:ascii="宋体" w:hAnsi="宋体" w:eastAsia="宋体"/>
          <w:color w:val="auto"/>
          <w:sz w:val="21"/>
          <w:szCs w:val="21"/>
          <w:highlight w:val="none"/>
          <w:lang w:val="en-US" w:eastAsia="zh-CN"/>
        </w:rPr>
        <w:t>706</w:t>
      </w:r>
      <w:r>
        <w:rPr>
          <w:rFonts w:hint="eastAsia" w:ascii="宋体" w:hAnsi="宋体" w:eastAsia="宋体"/>
          <w:color w:val="auto"/>
          <w:sz w:val="21"/>
          <w:szCs w:val="21"/>
          <w:highlight w:val="none"/>
        </w:rPr>
        <w:t>室。</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联系人：</w:t>
      </w:r>
      <w:r>
        <w:rPr>
          <w:rFonts w:hint="eastAsia" w:ascii="宋体" w:hAnsi="宋体" w:eastAsia="宋体"/>
          <w:color w:val="auto"/>
          <w:sz w:val="21"/>
          <w:szCs w:val="21"/>
          <w:highlight w:val="none"/>
          <w:lang w:val="en-US" w:eastAsia="zh-CN"/>
        </w:rPr>
        <w:t>黄雯静</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联系电话：0769-21682660</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4、报名方式：</w:t>
      </w:r>
      <w:r>
        <w:rPr>
          <w:rFonts w:hint="eastAsia" w:ascii="宋体" w:hAnsi="宋体" w:eastAsia="宋体"/>
          <w:color w:val="auto"/>
          <w:sz w:val="21"/>
          <w:szCs w:val="21"/>
          <w:highlight w:val="none"/>
          <w:lang w:eastAsia="zh-CN"/>
        </w:rPr>
        <w:t>现场</w:t>
      </w:r>
      <w:r>
        <w:rPr>
          <w:rFonts w:hint="eastAsia" w:ascii="宋体" w:hAnsi="宋体" w:eastAsia="宋体"/>
          <w:color w:val="auto"/>
          <w:sz w:val="21"/>
          <w:szCs w:val="21"/>
          <w:highlight w:val="none"/>
        </w:rPr>
        <w:t>报名。</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投标人在购买招标文件时须提供如下证明材料：《营业执照》复印件（加盖公章）或《事业单位法人证书》复印件（加盖公章）或其他主体证书复印件（加盖公章）</w:t>
      </w:r>
      <w:r>
        <w:rPr>
          <w:rFonts w:hint="eastAsia" w:ascii="宋体" w:hAnsi="宋体" w:eastAsia="宋体"/>
          <w:color w:val="auto"/>
          <w:sz w:val="21"/>
          <w:szCs w:val="21"/>
          <w:highlight w:val="none"/>
          <w:lang w:val="en-US" w:eastAsia="zh-CN"/>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5、招标文件售价：每套人民币150元。</w:t>
      </w:r>
    </w:p>
    <w:p>
      <w:pPr>
        <w:keepNext w:val="0"/>
        <w:keepLines w:val="0"/>
        <w:pageBreakBefore w:val="0"/>
        <w:widowControl/>
        <w:kinsoku/>
        <w:wordWrap/>
        <w:overflowPunct/>
        <w:topLinePunct w:val="0"/>
        <w:autoSpaceDE/>
        <w:autoSpaceDN/>
        <w:bidi w:val="0"/>
        <w:adjustRightInd w:val="0"/>
        <w:snapToGrid w:val="0"/>
        <w:spacing w:after="0" w:line="360" w:lineRule="auto"/>
        <w:ind w:firstLine="411" w:firstLineChars="196"/>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6、购买了招标文件，而不参加投标的投标人，请在开标日期三日前以纸质版形式通知采购代理机构。</w:t>
      </w:r>
    </w:p>
    <w:p>
      <w:pPr>
        <w:keepNext w:val="0"/>
        <w:keepLines w:val="0"/>
        <w:pageBreakBefore w:val="0"/>
        <w:widowControl/>
        <w:kinsoku/>
        <w:wordWrap/>
        <w:overflowPunct/>
        <w:topLinePunct w:val="0"/>
        <w:autoSpaceDE/>
        <w:autoSpaceDN/>
        <w:bidi w:val="0"/>
        <w:adjustRightInd w:val="0"/>
        <w:snapToGrid w:val="0"/>
        <w:spacing w:after="0" w:line="360" w:lineRule="auto"/>
        <w:ind w:firstLine="411" w:firstLineChars="196"/>
        <w:textAlignment w:val="auto"/>
        <w:rPr>
          <w:rFonts w:ascii="宋体" w:hAnsi="宋体" w:eastAsia="宋体"/>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ind w:firstLine="413" w:firstLineChars="196"/>
        <w:textAlignment w:val="auto"/>
        <w:rPr>
          <w:rFonts w:ascii="宋体" w:hAnsi="宋体" w:eastAsia="宋体"/>
          <w:b/>
          <w:color w:val="auto"/>
          <w:sz w:val="21"/>
          <w:szCs w:val="21"/>
          <w:highlight w:val="none"/>
        </w:rPr>
      </w:pPr>
      <w:r>
        <w:rPr>
          <w:rFonts w:hint="eastAsia" w:ascii="宋体" w:hAnsi="宋体" w:eastAsia="宋体"/>
          <w:b/>
          <w:color w:val="auto"/>
          <w:sz w:val="21"/>
          <w:szCs w:val="21"/>
          <w:highlight w:val="none"/>
        </w:rPr>
        <w:t>四、投标截止时间、开标时间及地点</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bCs/>
          <w:color w:val="auto"/>
          <w:sz w:val="21"/>
          <w:szCs w:val="21"/>
          <w:highlight w:val="none"/>
        </w:rPr>
      </w:pPr>
      <w:r>
        <w:rPr>
          <w:rFonts w:hint="eastAsia" w:ascii="宋体" w:hAnsi="宋体" w:eastAsia="宋体"/>
          <w:bCs/>
          <w:color w:val="auto"/>
          <w:sz w:val="21"/>
          <w:szCs w:val="21"/>
          <w:highlight w:val="none"/>
        </w:rPr>
        <w:t>1、递交投标文件时间：</w:t>
      </w:r>
      <w:r>
        <w:rPr>
          <w:rFonts w:hint="eastAsia" w:ascii="宋体" w:hAnsi="宋体" w:eastAsia="宋体"/>
          <w:bCs/>
          <w:color w:val="auto"/>
          <w:sz w:val="21"/>
          <w:szCs w:val="21"/>
          <w:highlight w:val="none"/>
          <w:lang w:eastAsia="zh-CN"/>
        </w:rPr>
        <w:t>2021</w:t>
      </w:r>
      <w:r>
        <w:rPr>
          <w:rFonts w:hint="eastAsia" w:ascii="宋体" w:hAnsi="宋体" w:eastAsia="宋体"/>
          <w:bCs/>
          <w:color w:val="auto"/>
          <w:sz w:val="21"/>
          <w:szCs w:val="21"/>
          <w:highlight w:val="none"/>
        </w:rPr>
        <w:t>年</w:t>
      </w:r>
      <w:r>
        <w:rPr>
          <w:rFonts w:hint="eastAsia" w:ascii="宋体" w:hAnsi="宋体" w:eastAsia="宋体"/>
          <w:bCs/>
          <w:color w:val="auto"/>
          <w:sz w:val="21"/>
          <w:szCs w:val="21"/>
          <w:highlight w:val="none"/>
          <w:lang w:val="en-US" w:eastAsia="zh-CN"/>
        </w:rPr>
        <w:t>6</w:t>
      </w:r>
      <w:r>
        <w:rPr>
          <w:rFonts w:hint="eastAsia" w:ascii="宋体" w:hAnsi="宋体" w:eastAsia="宋体"/>
          <w:bCs/>
          <w:color w:val="auto"/>
          <w:sz w:val="21"/>
          <w:szCs w:val="21"/>
          <w:highlight w:val="none"/>
        </w:rPr>
        <w:t>月</w:t>
      </w:r>
      <w:r>
        <w:rPr>
          <w:rFonts w:hint="eastAsia" w:ascii="宋体" w:hAnsi="宋体" w:eastAsia="宋体"/>
          <w:bCs/>
          <w:color w:val="auto"/>
          <w:sz w:val="21"/>
          <w:szCs w:val="21"/>
          <w:highlight w:val="none"/>
          <w:lang w:val="en-US" w:eastAsia="zh-CN"/>
        </w:rPr>
        <w:t>17</w:t>
      </w:r>
      <w:r>
        <w:rPr>
          <w:rFonts w:hint="eastAsia" w:ascii="宋体" w:hAnsi="宋体" w:eastAsia="宋体"/>
          <w:bCs/>
          <w:color w:val="auto"/>
          <w:sz w:val="21"/>
          <w:szCs w:val="21"/>
          <w:highlight w:val="none"/>
        </w:rPr>
        <w:t>日</w:t>
      </w:r>
      <w:r>
        <w:rPr>
          <w:rFonts w:hint="eastAsia" w:ascii="宋体" w:hAnsi="宋体" w:eastAsia="宋体"/>
          <w:bCs/>
          <w:color w:val="auto"/>
          <w:sz w:val="21"/>
          <w:szCs w:val="21"/>
          <w:highlight w:val="none"/>
          <w:lang w:eastAsia="zh-CN"/>
        </w:rPr>
        <w:t>上</w:t>
      </w:r>
      <w:r>
        <w:rPr>
          <w:rFonts w:hint="eastAsia" w:ascii="宋体" w:hAnsi="宋体" w:eastAsia="宋体"/>
          <w:bCs/>
          <w:color w:val="auto"/>
          <w:sz w:val="21"/>
          <w:szCs w:val="21"/>
          <w:highlight w:val="none"/>
        </w:rPr>
        <w:t>午</w:t>
      </w:r>
      <w:r>
        <w:rPr>
          <w:rFonts w:hint="eastAsia" w:ascii="宋体" w:hAnsi="宋体" w:eastAsia="宋体"/>
          <w:bCs/>
          <w:color w:val="auto"/>
          <w:sz w:val="21"/>
          <w:szCs w:val="21"/>
          <w:highlight w:val="none"/>
          <w:lang w:val="en-US" w:eastAsia="zh-CN"/>
        </w:rPr>
        <w:t>9</w:t>
      </w:r>
      <w:r>
        <w:rPr>
          <w:rFonts w:hint="eastAsia" w:ascii="宋体" w:hAnsi="宋体" w:eastAsia="宋体"/>
          <w:bCs/>
          <w:color w:val="auto"/>
          <w:sz w:val="21"/>
          <w:szCs w:val="21"/>
          <w:highlight w:val="none"/>
        </w:rPr>
        <w:t>：00～</w:t>
      </w:r>
      <w:r>
        <w:rPr>
          <w:rFonts w:hint="eastAsia" w:ascii="宋体" w:hAnsi="宋体" w:eastAsia="宋体"/>
          <w:bCs/>
          <w:color w:val="auto"/>
          <w:sz w:val="21"/>
          <w:szCs w:val="21"/>
          <w:highlight w:val="none"/>
          <w:lang w:val="en-US" w:eastAsia="zh-CN"/>
        </w:rPr>
        <w:t>9</w:t>
      </w:r>
      <w:r>
        <w:rPr>
          <w:rFonts w:hint="eastAsia" w:ascii="宋体" w:hAnsi="宋体" w:eastAsia="宋体"/>
          <w:bCs/>
          <w:color w:val="auto"/>
          <w:sz w:val="21"/>
          <w:szCs w:val="21"/>
          <w:highlight w:val="none"/>
        </w:rPr>
        <w:t>：30。</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bCs/>
          <w:color w:val="auto"/>
          <w:sz w:val="21"/>
          <w:szCs w:val="21"/>
          <w:highlight w:val="none"/>
        </w:rPr>
      </w:pPr>
      <w:r>
        <w:rPr>
          <w:rFonts w:hint="eastAsia" w:ascii="宋体" w:hAnsi="宋体" w:eastAsia="宋体"/>
          <w:bCs/>
          <w:color w:val="auto"/>
          <w:sz w:val="21"/>
          <w:szCs w:val="21"/>
          <w:highlight w:val="none"/>
        </w:rPr>
        <w:t>2、</w:t>
      </w:r>
      <w:r>
        <w:rPr>
          <w:rFonts w:ascii="宋体" w:hAnsi="宋体" w:eastAsia="宋体"/>
          <w:bCs/>
          <w:color w:val="auto"/>
          <w:sz w:val="21"/>
          <w:szCs w:val="21"/>
          <w:highlight w:val="none"/>
        </w:rPr>
        <w:t>投标截止</w:t>
      </w:r>
      <w:r>
        <w:rPr>
          <w:rFonts w:hint="eastAsia" w:ascii="宋体" w:hAnsi="宋体" w:eastAsia="宋体"/>
          <w:bCs/>
          <w:color w:val="auto"/>
          <w:sz w:val="21"/>
          <w:szCs w:val="21"/>
          <w:highlight w:val="none"/>
        </w:rPr>
        <w:t>及开标时间：</w:t>
      </w:r>
      <w:r>
        <w:rPr>
          <w:rFonts w:hint="eastAsia" w:ascii="宋体" w:hAnsi="宋体" w:eastAsia="宋体"/>
          <w:bCs/>
          <w:color w:val="auto"/>
          <w:sz w:val="21"/>
          <w:szCs w:val="21"/>
          <w:highlight w:val="none"/>
          <w:lang w:eastAsia="zh-CN"/>
        </w:rPr>
        <w:t>2021</w:t>
      </w:r>
      <w:r>
        <w:rPr>
          <w:rFonts w:hint="eastAsia" w:ascii="宋体" w:hAnsi="宋体" w:eastAsia="宋体"/>
          <w:bCs/>
          <w:color w:val="auto"/>
          <w:sz w:val="21"/>
          <w:szCs w:val="21"/>
          <w:highlight w:val="none"/>
        </w:rPr>
        <w:t>年</w:t>
      </w:r>
      <w:r>
        <w:rPr>
          <w:rFonts w:hint="eastAsia" w:ascii="宋体" w:hAnsi="宋体" w:eastAsia="宋体"/>
          <w:bCs/>
          <w:color w:val="auto"/>
          <w:sz w:val="21"/>
          <w:szCs w:val="21"/>
          <w:highlight w:val="none"/>
          <w:lang w:val="en-US" w:eastAsia="zh-CN"/>
        </w:rPr>
        <w:t>6</w:t>
      </w:r>
      <w:r>
        <w:rPr>
          <w:rFonts w:hint="eastAsia" w:ascii="宋体" w:hAnsi="宋体" w:eastAsia="宋体"/>
          <w:bCs/>
          <w:color w:val="auto"/>
          <w:sz w:val="21"/>
          <w:szCs w:val="21"/>
          <w:highlight w:val="none"/>
        </w:rPr>
        <w:t>月</w:t>
      </w:r>
      <w:r>
        <w:rPr>
          <w:rFonts w:hint="eastAsia" w:ascii="宋体" w:hAnsi="宋体" w:eastAsia="宋体"/>
          <w:bCs/>
          <w:color w:val="auto"/>
          <w:sz w:val="21"/>
          <w:szCs w:val="21"/>
          <w:highlight w:val="none"/>
          <w:lang w:val="en-US" w:eastAsia="zh-CN"/>
        </w:rPr>
        <w:t>17</w:t>
      </w:r>
      <w:r>
        <w:rPr>
          <w:rFonts w:hint="eastAsia" w:ascii="宋体" w:hAnsi="宋体" w:eastAsia="宋体"/>
          <w:bCs/>
          <w:color w:val="auto"/>
          <w:sz w:val="21"/>
          <w:szCs w:val="21"/>
          <w:highlight w:val="none"/>
        </w:rPr>
        <w:t>日</w:t>
      </w:r>
      <w:r>
        <w:rPr>
          <w:rFonts w:hint="eastAsia" w:ascii="宋体" w:hAnsi="宋体" w:eastAsia="宋体"/>
          <w:bCs/>
          <w:color w:val="auto"/>
          <w:sz w:val="21"/>
          <w:szCs w:val="21"/>
          <w:highlight w:val="none"/>
          <w:lang w:eastAsia="zh-CN"/>
        </w:rPr>
        <w:t>上</w:t>
      </w:r>
      <w:r>
        <w:rPr>
          <w:rFonts w:hint="eastAsia" w:ascii="宋体" w:hAnsi="宋体" w:eastAsia="宋体"/>
          <w:bCs/>
          <w:color w:val="auto"/>
          <w:sz w:val="21"/>
          <w:szCs w:val="21"/>
          <w:highlight w:val="none"/>
        </w:rPr>
        <w:t>午</w:t>
      </w:r>
      <w:r>
        <w:rPr>
          <w:rFonts w:hint="eastAsia" w:ascii="宋体" w:hAnsi="宋体" w:eastAsia="宋体"/>
          <w:bCs/>
          <w:color w:val="auto"/>
          <w:sz w:val="21"/>
          <w:szCs w:val="21"/>
          <w:highlight w:val="none"/>
          <w:lang w:val="en-US" w:eastAsia="zh-CN"/>
        </w:rPr>
        <w:t>9</w:t>
      </w:r>
      <w:r>
        <w:rPr>
          <w:rFonts w:hint="eastAsia" w:ascii="宋体" w:hAnsi="宋体" w:eastAsia="宋体"/>
          <w:bCs/>
          <w:color w:val="auto"/>
          <w:sz w:val="21"/>
          <w:szCs w:val="21"/>
          <w:highlight w:val="none"/>
        </w:rPr>
        <w:t>时30分。</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bCs/>
          <w:color w:val="auto"/>
          <w:sz w:val="21"/>
          <w:szCs w:val="21"/>
          <w:highlight w:val="none"/>
        </w:rPr>
      </w:pPr>
      <w:r>
        <w:rPr>
          <w:rFonts w:hint="eastAsia" w:ascii="宋体" w:hAnsi="宋体" w:eastAsia="宋体"/>
          <w:bCs/>
          <w:color w:val="auto"/>
          <w:sz w:val="21"/>
          <w:szCs w:val="21"/>
          <w:highlight w:val="none"/>
        </w:rPr>
        <w:t>3、</w:t>
      </w:r>
      <w:r>
        <w:rPr>
          <w:rFonts w:ascii="宋体" w:hAnsi="宋体" w:eastAsia="宋体"/>
          <w:bCs/>
          <w:color w:val="auto"/>
          <w:sz w:val="21"/>
          <w:szCs w:val="21"/>
          <w:highlight w:val="none"/>
        </w:rPr>
        <w:t>开标地点：</w:t>
      </w:r>
      <w:r>
        <w:rPr>
          <w:rFonts w:hint="eastAsia" w:ascii="宋体" w:hAnsi="宋体" w:eastAsia="宋体"/>
          <w:color w:val="auto"/>
          <w:sz w:val="21"/>
          <w:szCs w:val="21"/>
          <w:highlight w:val="none"/>
        </w:rPr>
        <w:t>东莞市南城街道鸿福西路81号国际商会大厦601室</w:t>
      </w:r>
      <w:r>
        <w:rPr>
          <w:rFonts w:hint="eastAsia" w:ascii="宋体" w:hAnsi="宋体" w:eastAsia="宋体"/>
          <w:bCs/>
          <w:color w:val="auto"/>
          <w:sz w:val="21"/>
          <w:szCs w:val="21"/>
          <w:highlight w:val="none"/>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11" w:firstLineChars="196"/>
        <w:textAlignment w:val="auto"/>
        <w:rPr>
          <w:rFonts w:ascii="宋体" w:hAnsi="宋体" w:eastAsia="宋体"/>
          <w:bCs/>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ind w:firstLine="413" w:firstLineChars="196"/>
        <w:textAlignment w:val="auto"/>
        <w:rPr>
          <w:rFonts w:ascii="宋体" w:hAnsi="宋体" w:eastAsia="宋体"/>
          <w:bCs/>
          <w:color w:val="auto"/>
          <w:sz w:val="21"/>
          <w:szCs w:val="21"/>
          <w:highlight w:val="none"/>
        </w:rPr>
      </w:pPr>
      <w:r>
        <w:rPr>
          <w:rFonts w:hint="eastAsia" w:ascii="宋体" w:hAnsi="宋体" w:eastAsia="宋体"/>
          <w:b/>
          <w:color w:val="auto"/>
          <w:sz w:val="21"/>
          <w:szCs w:val="21"/>
          <w:highlight w:val="none"/>
        </w:rPr>
        <w:t>五、采购人及采购代理机构的名称、地址和联系方法：</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采购人联系人：方老师</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地址：东莞市东城区汇京路39号</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联系电话：0769-23114787</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采购代理机构名称：</w:t>
      </w:r>
      <w:r>
        <w:rPr>
          <w:rFonts w:hint="eastAsia" w:ascii="宋体" w:hAnsi="宋体" w:eastAsia="宋体"/>
          <w:color w:val="auto"/>
          <w:sz w:val="21"/>
          <w:szCs w:val="21"/>
          <w:highlight w:val="none"/>
          <w:lang w:eastAsia="zh-CN"/>
        </w:rPr>
        <w:t>三方诚信招标有限公司</w:t>
      </w:r>
      <w:r>
        <w:rPr>
          <w:rFonts w:hint="eastAsia" w:ascii="宋体" w:hAnsi="宋体" w:eastAsia="宋体"/>
          <w:color w:val="auto"/>
          <w:sz w:val="21"/>
          <w:szCs w:val="21"/>
          <w:highlight w:val="none"/>
        </w:rPr>
        <w:t>东莞分公司</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地址：东莞市南城街道鸿福西路81号国际商会大厦</w:t>
      </w:r>
      <w:r>
        <w:rPr>
          <w:rFonts w:hint="eastAsia" w:ascii="宋体" w:hAnsi="宋体" w:eastAsia="宋体"/>
          <w:color w:val="auto"/>
          <w:sz w:val="21"/>
          <w:szCs w:val="21"/>
          <w:highlight w:val="none"/>
          <w:lang w:val="en-US" w:eastAsia="zh-CN"/>
        </w:rPr>
        <w:t>706</w:t>
      </w:r>
      <w:r>
        <w:rPr>
          <w:rFonts w:hint="eastAsia" w:ascii="宋体" w:hAnsi="宋体" w:eastAsia="宋体"/>
          <w:color w:val="auto"/>
          <w:sz w:val="21"/>
          <w:szCs w:val="21"/>
          <w:highlight w:val="none"/>
        </w:rPr>
        <w:t>室。</w:t>
      </w:r>
    </w:p>
    <w:p>
      <w:pPr>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采购代理机构联系人：</w:t>
      </w:r>
      <w:r>
        <w:rPr>
          <w:rFonts w:hint="eastAsia" w:ascii="宋体" w:hAnsi="宋体" w:eastAsia="宋体"/>
          <w:color w:val="auto"/>
          <w:sz w:val="21"/>
          <w:szCs w:val="21"/>
          <w:highlight w:val="none"/>
          <w:lang w:eastAsia="zh-CN"/>
        </w:rPr>
        <w:t>王先生</w:t>
      </w:r>
    </w:p>
    <w:p>
      <w:pPr>
        <w:spacing w:after="0" w:line="360" w:lineRule="auto"/>
        <w:ind w:firstLine="420" w:firstLineChars="200"/>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联系电话：0769-21682660</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E－ mail：</w:t>
      </w:r>
      <w:r>
        <w:rPr>
          <w:rFonts w:hint="eastAsia" w:ascii="宋体" w:hAnsi="宋体" w:eastAsia="宋体"/>
          <w:color w:val="auto"/>
          <w:sz w:val="21"/>
          <w:szCs w:val="21"/>
          <w:highlight w:val="none"/>
          <w:lang w:val="en-US" w:eastAsia="zh-CN"/>
        </w:rPr>
        <w:t>735880509</w:t>
      </w:r>
      <w:r>
        <w:rPr>
          <w:rFonts w:hint="eastAsia" w:ascii="宋体" w:hAnsi="宋体" w:eastAsia="宋体"/>
          <w:color w:val="auto"/>
          <w:sz w:val="21"/>
          <w:szCs w:val="21"/>
          <w:highlight w:val="none"/>
        </w:rPr>
        <w:t>@qq.com</w:t>
      </w:r>
    </w:p>
    <w:p>
      <w:pPr>
        <w:keepNext w:val="0"/>
        <w:keepLines w:val="0"/>
        <w:pageBreakBefore w:val="0"/>
        <w:widowControl/>
        <w:kinsoku/>
        <w:wordWrap/>
        <w:overflowPunct/>
        <w:topLinePunct w:val="0"/>
        <w:autoSpaceDE/>
        <w:autoSpaceDN/>
        <w:bidi w:val="0"/>
        <w:adjustRightInd w:val="0"/>
        <w:snapToGrid w:val="0"/>
        <w:spacing w:after="0" w:line="360" w:lineRule="auto"/>
        <w:ind w:firstLine="440" w:firstLineChars="200"/>
        <w:textAlignment w:val="auto"/>
        <w:rPr>
          <w:rFonts w:eastAsia="宋体"/>
          <w:color w:val="auto"/>
          <w:highlight w:val="none"/>
        </w:rPr>
      </w:pPr>
    </w:p>
    <w:p>
      <w:pPr>
        <w:keepNext w:val="0"/>
        <w:keepLines w:val="0"/>
        <w:pageBreakBefore w:val="0"/>
        <w:widowControl/>
        <w:kinsoku/>
        <w:wordWrap/>
        <w:overflowPunct/>
        <w:topLinePunct w:val="0"/>
        <w:autoSpaceDE/>
        <w:autoSpaceDN/>
        <w:bidi w:val="0"/>
        <w:adjustRightInd w:val="0"/>
        <w:snapToGrid w:val="0"/>
        <w:spacing w:line="360" w:lineRule="auto"/>
        <w:ind w:right="788" w:rightChars="358"/>
        <w:jc w:val="both"/>
        <w:textAlignment w:val="auto"/>
        <w:rPr>
          <w:color w:val="auto"/>
          <w:highlight w:val="none"/>
        </w:rPr>
      </w:pPr>
    </w:p>
    <w:p>
      <w:pPr>
        <w:keepNext w:val="0"/>
        <w:keepLines w:val="0"/>
        <w:pageBreakBefore w:val="0"/>
        <w:widowControl/>
        <w:kinsoku/>
        <w:wordWrap/>
        <w:overflowPunct/>
        <w:topLinePunct w:val="0"/>
        <w:autoSpaceDE/>
        <w:autoSpaceDN/>
        <w:bidi w:val="0"/>
        <w:adjustRightInd w:val="0"/>
        <w:snapToGrid w:val="0"/>
        <w:spacing w:line="360" w:lineRule="auto"/>
        <w:ind w:right="788" w:rightChars="358"/>
        <w:jc w:val="right"/>
        <w:textAlignment w:val="auto"/>
        <w:rPr>
          <w:color w:val="auto"/>
          <w:highlight w:val="none"/>
        </w:rPr>
      </w:pPr>
    </w:p>
    <w:p>
      <w:pPr>
        <w:keepNext w:val="0"/>
        <w:keepLines w:val="0"/>
        <w:pageBreakBefore w:val="0"/>
        <w:widowControl/>
        <w:kinsoku/>
        <w:wordWrap/>
        <w:overflowPunct/>
        <w:topLinePunct w:val="0"/>
        <w:autoSpaceDE/>
        <w:autoSpaceDN/>
        <w:bidi w:val="0"/>
        <w:adjustRightInd w:val="0"/>
        <w:snapToGrid w:val="0"/>
        <w:spacing w:line="360" w:lineRule="auto"/>
        <w:ind w:right="788" w:rightChars="358"/>
        <w:jc w:val="right"/>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三方诚信招标有限公司</w:t>
      </w:r>
      <w:r>
        <w:rPr>
          <w:rFonts w:hint="eastAsia" w:ascii="宋体" w:hAnsi="宋体" w:eastAsia="宋体" w:cs="宋体"/>
          <w:color w:val="auto"/>
          <w:sz w:val="21"/>
          <w:szCs w:val="21"/>
          <w:highlight w:val="none"/>
        </w:rPr>
        <w:t>东莞分公司</w:t>
      </w:r>
    </w:p>
    <w:p>
      <w:pPr>
        <w:keepNext w:val="0"/>
        <w:keepLines w:val="0"/>
        <w:pageBreakBefore w:val="0"/>
        <w:widowControl/>
        <w:kinsoku/>
        <w:wordWrap/>
        <w:overflowPunct/>
        <w:topLinePunct w:val="0"/>
        <w:autoSpaceDE/>
        <w:autoSpaceDN/>
        <w:bidi w:val="0"/>
        <w:adjustRightInd w:val="0"/>
        <w:snapToGrid w:val="0"/>
        <w:spacing w:line="360" w:lineRule="auto"/>
        <w:ind w:left="6479" w:leftChars="2945" w:firstLine="0" w:firstLineChars="0"/>
        <w:textAlignment w:val="auto"/>
        <w:rPr>
          <w:rFonts w:ascii="黑体" w:hAnsi="宋体" w:eastAsia="黑体"/>
          <w:color w:val="auto"/>
          <w:highlight w:val="none"/>
        </w:rPr>
      </w:pPr>
      <w:r>
        <w:rPr>
          <w:rFonts w:hint="eastAsia" w:ascii="宋体" w:hAnsi="宋体" w:eastAsia="宋体" w:cs="宋体"/>
          <w:color w:val="auto"/>
          <w:sz w:val="21"/>
          <w:szCs w:val="21"/>
          <w:highlight w:val="none"/>
          <w:lang w:val="en-US" w:eastAsia="zh-CN"/>
        </w:rPr>
        <w:t>2021</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rPr>
        <w:br w:type="page"/>
      </w:r>
    </w:p>
    <w:p>
      <w:pPr>
        <w:pStyle w:val="3"/>
        <w:spacing w:before="0" w:after="0" w:line="240" w:lineRule="auto"/>
        <w:rPr>
          <w:color w:val="auto"/>
          <w:sz w:val="28"/>
          <w:szCs w:val="28"/>
          <w:highlight w:val="none"/>
        </w:rPr>
      </w:pPr>
      <w:bookmarkStart w:id="1" w:name="_Toc1854"/>
      <w:r>
        <w:rPr>
          <w:rFonts w:hint="eastAsia"/>
          <w:color w:val="auto"/>
          <w:sz w:val="28"/>
          <w:szCs w:val="28"/>
          <w:highlight w:val="none"/>
        </w:rPr>
        <w:t>第二部分 相关资料表格</w:t>
      </w:r>
      <w:bookmarkEnd w:id="1"/>
    </w:p>
    <w:p>
      <w:pPr>
        <w:pStyle w:val="4"/>
        <w:spacing w:before="0" w:after="0" w:line="240" w:lineRule="auto"/>
        <w:jc w:val="center"/>
        <w:rPr>
          <w:rFonts w:hint="eastAsia" w:ascii="宋体" w:hAnsi="宋体" w:eastAsia="宋体" w:cs="宋体"/>
          <w:color w:val="auto"/>
          <w:sz w:val="24"/>
          <w:szCs w:val="24"/>
          <w:highlight w:val="none"/>
        </w:rPr>
      </w:pPr>
      <w:bookmarkStart w:id="2" w:name="_Toc1210"/>
      <w:r>
        <w:rPr>
          <w:rFonts w:hint="eastAsia" w:ascii="宋体" w:hAnsi="宋体" w:eastAsia="宋体" w:cs="宋体"/>
          <w:color w:val="auto"/>
          <w:sz w:val="24"/>
          <w:szCs w:val="24"/>
          <w:highlight w:val="none"/>
        </w:rPr>
        <w:t>附表一：投标资料表</w:t>
      </w:r>
      <w:bookmarkEnd w:id="2"/>
    </w:p>
    <w:tbl>
      <w:tblPr>
        <w:tblStyle w:val="18"/>
        <w:tblW w:w="8410" w:type="dxa"/>
        <w:tblInd w:w="-24" w:type="dxa"/>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
      <w:tblGrid>
        <w:gridCol w:w="878"/>
        <w:gridCol w:w="2608"/>
        <w:gridCol w:w="1154"/>
        <w:gridCol w:w="4"/>
        <w:gridCol w:w="3766"/>
      </w:tblGrid>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78"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7532" w:type="dxa"/>
            <w:gridSpan w:val="4"/>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内</w:t>
            </w:r>
            <w:r>
              <w:rPr>
                <w:rFonts w:ascii="宋体" w:hAnsi="宋体" w:eastAsia="宋体"/>
                <w:b/>
                <w:color w:val="auto"/>
                <w:sz w:val="21"/>
                <w:szCs w:val="21"/>
                <w:highlight w:val="none"/>
              </w:rPr>
              <w:t xml:space="preserve">      </w:t>
            </w:r>
            <w:r>
              <w:rPr>
                <w:rFonts w:hint="eastAsia" w:ascii="宋体" w:hAnsi="宋体" w:eastAsia="宋体"/>
                <w:b/>
                <w:color w:val="auto"/>
                <w:sz w:val="21"/>
                <w:szCs w:val="21"/>
                <w:highlight w:val="none"/>
              </w:rPr>
              <w:t>容</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551" w:hRule="atLeast"/>
        </w:trPr>
        <w:tc>
          <w:tcPr>
            <w:tcW w:w="8410" w:type="dxa"/>
            <w:gridSpan w:val="5"/>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一、说明</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w:t>
            </w:r>
          </w:p>
        </w:tc>
        <w:tc>
          <w:tcPr>
            <w:tcW w:w="7532" w:type="dxa"/>
            <w:gridSpan w:val="4"/>
            <w:vAlign w:val="center"/>
          </w:tcPr>
          <w:p>
            <w:pPr>
              <w:spacing w:after="0"/>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项目最高限价（单位：元）</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ascii="宋体" w:hAnsi="宋体" w:eastAsia="宋体"/>
                <w:b/>
                <w:bCs/>
                <w:color w:val="auto"/>
                <w:sz w:val="21"/>
                <w:szCs w:val="21"/>
                <w:highlight w:val="none"/>
              </w:rPr>
            </w:pPr>
            <w:r>
              <w:rPr>
                <w:rFonts w:hint="eastAsia" w:ascii="宋体" w:hAnsi="宋体" w:eastAsia="宋体"/>
                <w:bCs/>
                <w:color w:val="auto"/>
                <w:sz w:val="21"/>
                <w:szCs w:val="21"/>
                <w:highlight w:val="none"/>
              </w:rPr>
              <w:t>与项目预算一致。</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spacing w:after="0"/>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2</w:t>
            </w:r>
          </w:p>
        </w:tc>
        <w:tc>
          <w:tcPr>
            <w:tcW w:w="7532" w:type="dxa"/>
            <w:gridSpan w:val="4"/>
            <w:vAlign w:val="center"/>
          </w:tcPr>
          <w:p>
            <w:pPr>
              <w:spacing w:after="0"/>
              <w:rPr>
                <w:rFonts w:hint="eastAsia" w:ascii="宋体" w:hAnsi="宋体" w:eastAsia="宋体"/>
                <w:b/>
                <w:bCs/>
                <w:color w:val="auto"/>
                <w:sz w:val="21"/>
                <w:szCs w:val="21"/>
                <w:highlight w:val="none"/>
                <w:lang w:eastAsia="zh-CN"/>
              </w:rPr>
            </w:pPr>
            <w:r>
              <w:rPr>
                <w:rFonts w:hint="eastAsia" w:ascii="宋体" w:hAnsi="宋体" w:eastAsia="宋体"/>
                <w:b/>
                <w:bCs/>
                <w:color w:val="auto"/>
                <w:sz w:val="21"/>
                <w:szCs w:val="21"/>
                <w:highlight w:val="none"/>
                <w:lang w:eastAsia="zh-CN"/>
              </w:rPr>
              <w:t>项目类型</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lang w:eastAsia="zh-CN"/>
              </w:rPr>
              <w:t>货物</w:t>
            </w:r>
            <w:r>
              <w:rPr>
                <w:rFonts w:hint="eastAsia" w:ascii="宋体" w:hAnsi="宋体" w:eastAsia="宋体"/>
                <w:bCs/>
                <w:color w:val="auto"/>
                <w:sz w:val="21"/>
                <w:szCs w:val="21"/>
                <w:highlight w:val="none"/>
              </w:rPr>
              <w:sym w:font="Wingdings" w:char="00FE"/>
            </w:r>
            <w:r>
              <w:rPr>
                <w:rFonts w:hint="eastAsia" w:ascii="宋体" w:hAnsi="宋体" w:eastAsia="宋体"/>
                <w:bCs/>
                <w:color w:val="auto"/>
                <w:sz w:val="21"/>
                <w:szCs w:val="21"/>
                <w:highlight w:val="none"/>
                <w:lang w:val="en-US" w:eastAsia="zh-CN"/>
              </w:rPr>
              <w:t xml:space="preserve">   工程</w:t>
            </w:r>
            <w:r>
              <w:rPr>
                <w:rFonts w:hint="eastAsia" w:ascii="宋体" w:hAnsi="宋体" w:eastAsia="宋体"/>
                <w:bCs/>
                <w:color w:val="auto"/>
                <w:sz w:val="21"/>
                <w:szCs w:val="21"/>
                <w:highlight w:val="none"/>
                <w:lang w:val="en-US" w:eastAsia="zh-CN"/>
              </w:rPr>
              <w:sym w:font="Wingdings" w:char="00A8"/>
            </w:r>
            <w:r>
              <w:rPr>
                <w:rFonts w:hint="eastAsia" w:ascii="宋体" w:hAnsi="宋体" w:eastAsia="宋体"/>
                <w:bCs/>
                <w:color w:val="auto"/>
                <w:sz w:val="21"/>
                <w:szCs w:val="21"/>
                <w:highlight w:val="none"/>
                <w:lang w:val="en-US" w:eastAsia="zh-CN"/>
              </w:rPr>
              <w:t xml:space="preserve">   服务</w:t>
            </w:r>
            <w:r>
              <w:rPr>
                <w:rFonts w:hint="eastAsia" w:ascii="宋体" w:hAnsi="宋体" w:eastAsia="宋体"/>
                <w:bCs/>
                <w:color w:val="auto"/>
                <w:sz w:val="21"/>
                <w:szCs w:val="21"/>
                <w:highlight w:val="none"/>
                <w:lang w:val="en-US" w:eastAsia="zh-CN"/>
              </w:rPr>
              <w:sym w:font="Wingdings" w:char="00A8"/>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hint="eastAsia" w:ascii="宋体" w:hAnsi="宋体" w:eastAsia="宋体"/>
                <w:bCs/>
                <w:color w:val="auto"/>
                <w:sz w:val="21"/>
                <w:szCs w:val="21"/>
                <w:highlight w:val="none"/>
                <w:lang w:val="en-US" w:eastAsia="zh-CN"/>
              </w:rPr>
            </w:pPr>
            <w:r>
              <w:rPr>
                <w:rFonts w:hint="eastAsia" w:ascii="宋体" w:hAnsi="宋体" w:eastAsia="宋体"/>
                <w:bCs/>
                <w:color w:val="auto"/>
                <w:sz w:val="21"/>
                <w:szCs w:val="21"/>
                <w:highlight w:val="none"/>
                <w:lang w:val="en-US" w:eastAsia="zh-CN"/>
              </w:rPr>
              <w:t>所属行业：工业</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3</w:t>
            </w:r>
          </w:p>
        </w:tc>
        <w:tc>
          <w:tcPr>
            <w:tcW w:w="7532" w:type="dxa"/>
            <w:gridSpan w:val="4"/>
            <w:vAlign w:val="center"/>
          </w:tcPr>
          <w:p>
            <w:pPr>
              <w:spacing w:after="0"/>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资金来源</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ascii="宋体" w:hAnsi="宋体" w:eastAsia="宋体"/>
                <w:b/>
                <w:bCs/>
                <w:color w:val="auto"/>
                <w:sz w:val="21"/>
                <w:szCs w:val="21"/>
                <w:highlight w:val="none"/>
              </w:rPr>
            </w:pPr>
            <w:r>
              <w:rPr>
                <w:rFonts w:hint="eastAsia" w:ascii="宋体" w:hAnsi="宋体" w:eastAsia="宋体"/>
                <w:color w:val="auto"/>
                <w:sz w:val="21"/>
                <w:szCs w:val="21"/>
                <w:highlight w:val="none"/>
                <w:lang w:eastAsia="zh-CN"/>
              </w:rPr>
              <w:t>自筹</w:t>
            </w:r>
            <w:r>
              <w:rPr>
                <w:rFonts w:hint="eastAsia" w:ascii="宋体" w:hAnsi="宋体" w:eastAsia="宋体"/>
                <w:color w:val="auto"/>
                <w:sz w:val="21"/>
                <w:szCs w:val="21"/>
                <w:highlight w:val="none"/>
              </w:rPr>
              <w:t>资金。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spacing w:after="0"/>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4</w:t>
            </w:r>
          </w:p>
        </w:tc>
        <w:tc>
          <w:tcPr>
            <w:tcW w:w="7532" w:type="dxa"/>
            <w:gridSpan w:val="4"/>
            <w:vAlign w:val="center"/>
          </w:tcPr>
          <w:p>
            <w:pPr>
              <w:spacing w:after="0"/>
              <w:rPr>
                <w:rFonts w:hint="eastAsia" w:ascii="宋体" w:hAnsi="宋体" w:eastAsia="宋体"/>
                <w:color w:val="auto"/>
                <w:sz w:val="21"/>
                <w:szCs w:val="21"/>
                <w:highlight w:val="none"/>
              </w:rPr>
            </w:pPr>
            <w:r>
              <w:rPr>
                <w:rFonts w:hint="eastAsia" w:ascii="宋体" w:hAnsi="宋体" w:eastAsia="宋体"/>
                <w:b/>
                <w:color w:val="auto"/>
                <w:sz w:val="21"/>
                <w:szCs w:val="21"/>
                <w:highlight w:val="none"/>
                <w:lang w:eastAsia="zh-CN"/>
              </w:rPr>
              <w:t>是否为专门面向中小企业采购的采购项目</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hint="eastAsia" w:ascii="宋体" w:hAnsi="宋体" w:eastAsia="宋体"/>
                <w:color w:val="auto"/>
                <w:sz w:val="21"/>
                <w:szCs w:val="21"/>
                <w:highlight w:val="none"/>
              </w:rPr>
            </w:pPr>
            <w:r>
              <w:rPr>
                <w:rFonts w:hint="eastAsia" w:ascii="宋体" w:hAnsi="宋体" w:eastAsia="宋体"/>
                <w:bCs/>
                <w:color w:val="auto"/>
                <w:sz w:val="21"/>
                <w:szCs w:val="21"/>
                <w:highlight w:val="none"/>
                <w:lang w:eastAsia="zh-CN"/>
              </w:rPr>
              <w:t>是</w:t>
            </w:r>
            <w:r>
              <w:rPr>
                <w:rFonts w:hint="eastAsia" w:ascii="宋体" w:hAnsi="宋体" w:eastAsia="宋体"/>
                <w:bCs/>
                <w:color w:val="auto"/>
                <w:sz w:val="21"/>
                <w:szCs w:val="21"/>
                <w:highlight w:val="none"/>
              </w:rPr>
              <w:sym w:font="Wingdings" w:char="00A8"/>
            </w:r>
            <w:r>
              <w:rPr>
                <w:rFonts w:hint="eastAsia" w:ascii="宋体" w:hAnsi="宋体" w:eastAsia="宋体"/>
                <w:bCs/>
                <w:color w:val="auto"/>
                <w:sz w:val="21"/>
                <w:szCs w:val="21"/>
                <w:highlight w:val="none"/>
                <w:lang w:val="en-US" w:eastAsia="zh-CN"/>
              </w:rPr>
              <w:t xml:space="preserve">    否</w:t>
            </w:r>
            <w:r>
              <w:rPr>
                <w:rFonts w:hint="eastAsia" w:ascii="宋体" w:hAnsi="宋体" w:eastAsia="宋体"/>
                <w:bCs/>
                <w:color w:val="auto"/>
                <w:sz w:val="21"/>
                <w:szCs w:val="21"/>
                <w:highlight w:val="none"/>
                <w:lang w:val="en-US" w:eastAsia="zh-CN"/>
              </w:rPr>
              <w:sym w:font="Wingdings" w:char="00FE"/>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5</w:t>
            </w:r>
          </w:p>
        </w:tc>
        <w:tc>
          <w:tcPr>
            <w:tcW w:w="7532" w:type="dxa"/>
            <w:gridSpan w:val="4"/>
            <w:vAlign w:val="center"/>
          </w:tcPr>
          <w:p>
            <w:pPr>
              <w:spacing w:after="0"/>
              <w:rPr>
                <w:rFonts w:ascii="宋体" w:hAnsi="宋体" w:eastAsia="宋体"/>
                <w:b/>
                <w:color w:val="auto"/>
                <w:sz w:val="21"/>
                <w:szCs w:val="21"/>
                <w:highlight w:val="none"/>
              </w:rPr>
            </w:pPr>
            <w:r>
              <w:rPr>
                <w:rFonts w:hint="eastAsia" w:ascii="宋体" w:hAnsi="宋体" w:eastAsia="宋体"/>
                <w:b/>
                <w:color w:val="auto"/>
                <w:sz w:val="21"/>
                <w:szCs w:val="21"/>
                <w:highlight w:val="none"/>
              </w:rPr>
              <w:t>踏勘现场</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ascii="宋体" w:hAnsi="宋体" w:eastAsia="宋体"/>
                <w:b/>
                <w:color w:val="auto"/>
                <w:sz w:val="21"/>
                <w:szCs w:val="21"/>
                <w:highlight w:val="none"/>
              </w:rPr>
            </w:pPr>
            <w:r>
              <w:rPr>
                <w:rFonts w:hint="eastAsia" w:ascii="宋体" w:hAnsi="宋体" w:eastAsia="宋体"/>
                <w:bCs/>
                <w:color w:val="auto"/>
                <w:sz w:val="21"/>
                <w:szCs w:val="21"/>
                <w:highlight w:val="none"/>
              </w:rPr>
              <w:t>本项目不组织踏勘现场。</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6</w:t>
            </w:r>
          </w:p>
        </w:tc>
        <w:tc>
          <w:tcPr>
            <w:tcW w:w="7532" w:type="dxa"/>
            <w:gridSpan w:val="4"/>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招标信息发布网站</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3762" w:type="dxa"/>
            <w:gridSpan w:val="2"/>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lang w:eastAsia="zh-CN"/>
              </w:rPr>
              <w:t>三方诚信招标网</w:t>
            </w:r>
          </w:p>
        </w:tc>
        <w:tc>
          <w:tcPr>
            <w:tcW w:w="3770" w:type="dxa"/>
            <w:gridSpan w:val="2"/>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中国政府采购网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3762" w:type="dxa"/>
            <w:gridSpan w:val="2"/>
            <w:vAlign w:val="center"/>
          </w:tcPr>
          <w:p>
            <w:pPr>
              <w:spacing w:after="0"/>
              <w:jc w:val="center"/>
              <w:rPr>
                <w:rFonts w:ascii="宋体" w:hAnsi="宋体" w:eastAsia="宋体"/>
                <w:b/>
                <w:color w:val="auto"/>
                <w:sz w:val="21"/>
                <w:szCs w:val="21"/>
                <w:highlight w:val="none"/>
              </w:rPr>
            </w:pPr>
            <w:r>
              <w:rPr>
                <w:rFonts w:hint="eastAsia" w:ascii="宋体" w:hAnsi="宋体" w:eastAsia="宋体"/>
                <w:b w:val="0"/>
                <w:bCs/>
                <w:color w:val="auto"/>
                <w:sz w:val="21"/>
                <w:szCs w:val="21"/>
                <w:highlight w:val="none"/>
              </w:rPr>
              <w:t>http://www.sfcx.cn/</w:t>
            </w:r>
          </w:p>
        </w:tc>
        <w:tc>
          <w:tcPr>
            <w:tcW w:w="3770" w:type="dxa"/>
            <w:gridSpan w:val="2"/>
            <w:vAlign w:val="center"/>
          </w:tcPr>
          <w:p>
            <w:pPr>
              <w:spacing w:after="0"/>
              <w:jc w:val="center"/>
              <w:rPr>
                <w:rFonts w:ascii="宋体" w:hAnsi="宋体" w:eastAsia="宋体"/>
                <w:b/>
                <w:color w:val="auto"/>
                <w:sz w:val="21"/>
                <w:szCs w:val="21"/>
                <w:highlight w:val="none"/>
              </w:rPr>
            </w:pPr>
            <w:r>
              <w:rPr>
                <w:rFonts w:ascii="宋体" w:hAnsi="宋体" w:eastAsia="宋体"/>
                <w:color w:val="auto"/>
                <w:sz w:val="21"/>
                <w:szCs w:val="21"/>
                <w:highlight w:val="none"/>
              </w:rPr>
              <w:t>http://www.ccgp.gov.cn/</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845" w:hRule="atLeast"/>
        </w:trPr>
        <w:tc>
          <w:tcPr>
            <w:tcW w:w="8410" w:type="dxa"/>
            <w:gridSpan w:val="5"/>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二、投标文件的编制</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7</w:t>
            </w:r>
          </w:p>
        </w:tc>
        <w:tc>
          <w:tcPr>
            <w:tcW w:w="7532" w:type="dxa"/>
            <w:gridSpan w:val="4"/>
            <w:vAlign w:val="center"/>
          </w:tcPr>
          <w:p>
            <w:pPr>
              <w:spacing w:after="0"/>
              <w:rPr>
                <w:rFonts w:ascii="宋体" w:hAnsi="宋体" w:eastAsia="宋体"/>
                <w:b/>
                <w:color w:val="auto"/>
                <w:sz w:val="21"/>
                <w:szCs w:val="21"/>
                <w:highlight w:val="none"/>
              </w:rPr>
            </w:pPr>
            <w:r>
              <w:rPr>
                <w:rFonts w:hint="eastAsia" w:ascii="宋体" w:hAnsi="宋体" w:eastAsia="宋体"/>
                <w:b/>
                <w:color w:val="auto"/>
                <w:sz w:val="21"/>
                <w:szCs w:val="21"/>
                <w:highlight w:val="none"/>
              </w:rPr>
              <w:t>投标语言</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ascii="宋体" w:hAnsi="宋体" w:eastAsia="宋体"/>
                <w:b/>
                <w:color w:val="auto"/>
                <w:sz w:val="21"/>
                <w:szCs w:val="21"/>
                <w:highlight w:val="none"/>
              </w:rPr>
            </w:pPr>
            <w:r>
              <w:rPr>
                <w:rFonts w:hint="eastAsia" w:ascii="宋体" w:hAnsi="宋体" w:eastAsia="宋体"/>
                <w:color w:val="auto"/>
                <w:sz w:val="21"/>
                <w:szCs w:val="21"/>
                <w:highlight w:val="none"/>
              </w:rPr>
              <w:t>中文。</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8</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投标报价</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详见投标人须知。</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9</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投标样品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详见用户需求。</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10</w:t>
            </w: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核心产品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both"/>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“●”为核心产品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restart"/>
            <w:vAlign w:val="center"/>
          </w:tcPr>
          <w:p>
            <w:pPr>
              <w:spacing w:after="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11</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b/>
                <w:color w:val="auto"/>
                <w:sz w:val="21"/>
                <w:szCs w:val="21"/>
                <w:highlight w:val="none"/>
              </w:rPr>
              <w:t>投标保证金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717"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numPr>
                <w:ilvl w:val="0"/>
                <w:numId w:val="2"/>
              </w:numPr>
              <w:spacing w:after="0"/>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A包</w:t>
            </w:r>
            <w:r>
              <w:rPr>
                <w:rFonts w:hint="eastAsia" w:ascii="宋体" w:hAnsi="宋体" w:eastAsia="宋体"/>
                <w:color w:val="auto"/>
                <w:sz w:val="21"/>
                <w:szCs w:val="21"/>
                <w:highlight w:val="none"/>
              </w:rPr>
              <w:t>投标保证金金额：人民币</w:t>
            </w:r>
            <w:r>
              <w:rPr>
                <w:rFonts w:hint="eastAsia" w:ascii="宋体" w:hAnsi="宋体" w:eastAsia="宋体"/>
                <w:b/>
                <w:color w:val="auto"/>
                <w:sz w:val="21"/>
                <w:szCs w:val="21"/>
                <w:highlight w:val="none"/>
                <w:lang w:eastAsia="zh-CN"/>
              </w:rPr>
              <w:t>伍仟</w:t>
            </w:r>
            <w:r>
              <w:rPr>
                <w:rFonts w:hint="eastAsia" w:ascii="宋体" w:hAnsi="宋体" w:eastAsia="宋体"/>
                <w:color w:val="auto"/>
                <w:sz w:val="21"/>
                <w:szCs w:val="21"/>
                <w:highlight w:val="none"/>
              </w:rPr>
              <w:t>元整（￥</w:t>
            </w:r>
            <w:r>
              <w:rPr>
                <w:rFonts w:hint="eastAsia" w:ascii="宋体" w:hAnsi="宋体" w:eastAsia="宋体"/>
                <w:b/>
                <w:color w:val="auto"/>
                <w:sz w:val="21"/>
                <w:szCs w:val="21"/>
                <w:highlight w:val="none"/>
                <w:lang w:val="en-US" w:eastAsia="zh-CN"/>
              </w:rPr>
              <w:t>5,000.00</w:t>
            </w:r>
            <w:r>
              <w:rPr>
                <w:rFonts w:hint="eastAsia" w:ascii="宋体" w:hAnsi="宋体" w:eastAsia="宋体"/>
                <w:color w:val="auto"/>
                <w:sz w:val="21"/>
                <w:szCs w:val="21"/>
                <w:highlight w:val="none"/>
              </w:rPr>
              <w:t>）。</w:t>
            </w:r>
          </w:p>
          <w:p>
            <w:pPr>
              <w:numPr>
                <w:ilvl w:val="0"/>
                <w:numId w:val="0"/>
              </w:num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（2）B包</w:t>
            </w:r>
            <w:r>
              <w:rPr>
                <w:rFonts w:hint="eastAsia" w:ascii="宋体" w:hAnsi="宋体" w:eastAsia="宋体"/>
                <w:color w:val="auto"/>
                <w:sz w:val="21"/>
                <w:szCs w:val="21"/>
                <w:highlight w:val="none"/>
              </w:rPr>
              <w:t>投标保证金金额：人民币</w:t>
            </w:r>
            <w:r>
              <w:rPr>
                <w:rFonts w:hint="eastAsia" w:ascii="宋体" w:hAnsi="宋体" w:eastAsia="宋体"/>
                <w:b/>
                <w:color w:val="auto"/>
                <w:sz w:val="21"/>
                <w:szCs w:val="21"/>
                <w:highlight w:val="none"/>
                <w:lang w:eastAsia="zh-CN"/>
              </w:rPr>
              <w:t>肆仟</w:t>
            </w:r>
            <w:r>
              <w:rPr>
                <w:rFonts w:hint="eastAsia" w:ascii="宋体" w:hAnsi="宋体" w:eastAsia="宋体"/>
                <w:color w:val="auto"/>
                <w:sz w:val="21"/>
                <w:szCs w:val="21"/>
                <w:highlight w:val="none"/>
              </w:rPr>
              <w:t>元整（￥</w:t>
            </w:r>
            <w:r>
              <w:rPr>
                <w:rFonts w:hint="eastAsia" w:ascii="宋体" w:hAnsi="宋体" w:eastAsia="宋体"/>
                <w:b/>
                <w:color w:val="auto"/>
                <w:sz w:val="21"/>
                <w:szCs w:val="21"/>
                <w:highlight w:val="none"/>
                <w:lang w:val="en-US" w:eastAsia="zh-CN"/>
              </w:rPr>
              <w:t>4,000.00</w:t>
            </w:r>
            <w:r>
              <w:rPr>
                <w:rFonts w:hint="eastAsia" w:ascii="宋体" w:hAnsi="宋体" w:eastAsia="宋体"/>
                <w:color w:val="auto"/>
                <w:sz w:val="21"/>
                <w:szCs w:val="21"/>
                <w:highlight w:val="none"/>
              </w:rPr>
              <w:t>）。</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zh-CN"/>
              </w:rPr>
              <w:t>投标保证金须严格按“招标文件第</w:t>
            </w:r>
            <w:r>
              <w:rPr>
                <w:rFonts w:hint="eastAsia" w:ascii="宋体" w:hAnsi="宋体" w:eastAsia="宋体"/>
                <w:color w:val="auto"/>
                <w:sz w:val="21"/>
                <w:szCs w:val="21"/>
                <w:highlight w:val="none"/>
                <w:lang w:val="en-US" w:eastAsia="zh-CN"/>
              </w:rPr>
              <w:t>四部分投</w:t>
            </w:r>
            <w:r>
              <w:rPr>
                <w:rFonts w:hint="eastAsia" w:ascii="宋体" w:hAnsi="宋体" w:eastAsia="宋体"/>
                <w:color w:val="auto"/>
                <w:sz w:val="21"/>
                <w:szCs w:val="21"/>
                <w:highlight w:val="none"/>
                <w:lang w:val="zh-CN"/>
              </w:rPr>
              <w:t>标人须知”要求提交。</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60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w:t>
            </w:r>
            <w:r>
              <w:rPr>
                <w:rFonts w:hint="eastAsia" w:ascii="宋体" w:hAnsi="宋体" w:eastAsia="宋体"/>
                <w:color w:val="auto"/>
                <w:sz w:val="21"/>
                <w:szCs w:val="21"/>
                <w:highlight w:val="none"/>
                <w:lang w:val="en-US" w:eastAsia="zh-CN"/>
              </w:rPr>
              <w:t>4</w:t>
            </w:r>
            <w:r>
              <w:rPr>
                <w:rFonts w:hint="eastAsia" w:ascii="宋体" w:hAnsi="宋体" w:eastAsia="宋体"/>
                <w:color w:val="auto"/>
                <w:sz w:val="21"/>
                <w:szCs w:val="21"/>
                <w:highlight w:val="none"/>
                <w:lang w:val="zh-CN"/>
              </w:rPr>
              <w:t>）</w:t>
            </w:r>
            <w:r>
              <w:rPr>
                <w:rFonts w:hint="eastAsia" w:ascii="宋体" w:hAnsi="宋体" w:eastAsia="宋体"/>
                <w:color w:val="auto"/>
                <w:sz w:val="21"/>
                <w:szCs w:val="21"/>
                <w:highlight w:val="none"/>
                <w:lang w:val="en-US" w:eastAsia="zh-CN"/>
              </w:rPr>
              <w:t>A包</w:t>
            </w:r>
            <w:r>
              <w:rPr>
                <w:rFonts w:hint="eastAsia" w:ascii="宋体" w:hAnsi="宋体" w:eastAsia="宋体"/>
                <w:color w:val="auto"/>
                <w:sz w:val="21"/>
                <w:szCs w:val="21"/>
                <w:highlight w:val="none"/>
                <w:lang w:val="zh-CN"/>
              </w:rPr>
              <w:t>保证金递交账户：</w:t>
            </w:r>
          </w:p>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收款人：三方诚信招标有限公司东莞分公司</w:t>
            </w:r>
          </w:p>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开户行：广发银行股份有限公司东莞南城支行</w:t>
            </w:r>
          </w:p>
          <w:p>
            <w:pPr>
              <w:spacing w:after="0"/>
              <w:jc w:val="both"/>
              <w:rPr>
                <w:rFonts w:hint="eastAsia"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帐  号：6232590699050028735</w:t>
            </w:r>
          </w:p>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en-US" w:eastAsia="zh-CN"/>
              </w:rPr>
              <w:t>（5）B包</w:t>
            </w:r>
            <w:r>
              <w:rPr>
                <w:rFonts w:hint="eastAsia" w:ascii="宋体" w:hAnsi="宋体" w:eastAsia="宋体"/>
                <w:color w:val="auto"/>
                <w:sz w:val="21"/>
                <w:szCs w:val="21"/>
                <w:highlight w:val="none"/>
                <w:lang w:val="zh-CN"/>
              </w:rPr>
              <w:t>保证金递交账户：</w:t>
            </w:r>
          </w:p>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收款人：三方诚信招标有限公司东莞分公司</w:t>
            </w:r>
          </w:p>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开户行：广发银行股份有限公司东莞南城支行</w:t>
            </w:r>
          </w:p>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帐  号：6232590699050028750</w:t>
            </w:r>
          </w:p>
          <w:p>
            <w:pPr>
              <w:spacing w:after="0"/>
              <w:jc w:val="both"/>
              <w:rPr>
                <w:color w:val="auto"/>
                <w:highlight w:val="none"/>
              </w:rPr>
            </w:pPr>
            <w:r>
              <w:rPr>
                <w:rFonts w:hint="eastAsia" w:ascii="宋体" w:hAnsi="宋体" w:eastAsia="宋体"/>
                <w:color w:val="auto"/>
                <w:sz w:val="21"/>
                <w:szCs w:val="21"/>
                <w:highlight w:val="none"/>
                <w:lang w:val="zh-CN"/>
              </w:rPr>
              <w:t>（各投标人在转帐或电汇时须在用途栏上写明采购项目编号）。</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20" w:hRule="atLeast"/>
        </w:trPr>
        <w:tc>
          <w:tcPr>
            <w:tcW w:w="878" w:type="dxa"/>
            <w:vMerge w:val="restart"/>
            <w:vAlign w:val="center"/>
          </w:tcPr>
          <w:p>
            <w:pPr>
              <w:spacing w:after="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val="en-US" w:eastAsia="zh-CN"/>
              </w:rPr>
              <w:t>2</w:t>
            </w:r>
          </w:p>
        </w:tc>
        <w:tc>
          <w:tcPr>
            <w:tcW w:w="7532" w:type="dxa"/>
            <w:gridSpan w:val="4"/>
            <w:vAlign w:val="center"/>
          </w:tcPr>
          <w:p>
            <w:pPr>
              <w:spacing w:after="0"/>
              <w:jc w:val="both"/>
              <w:rPr>
                <w:rFonts w:ascii="宋体" w:hAnsi="宋体" w:eastAsia="宋体"/>
                <w:b/>
                <w:bCs/>
                <w:color w:val="auto"/>
                <w:sz w:val="21"/>
                <w:szCs w:val="21"/>
                <w:highlight w:val="none"/>
                <w:lang w:val="zh-CN"/>
              </w:rPr>
            </w:pPr>
            <w:r>
              <w:rPr>
                <w:rFonts w:hint="eastAsia" w:ascii="宋体" w:hAnsi="宋体" w:eastAsia="宋体"/>
                <w:b/>
                <w:bCs/>
                <w:color w:val="auto"/>
                <w:sz w:val="21"/>
                <w:szCs w:val="21"/>
                <w:highlight w:val="none"/>
                <w:lang w:val="zh-CN"/>
              </w:rPr>
              <w:t>投标保证金退还</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535"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w:t>
            </w: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val="zh-CN"/>
              </w:rPr>
              <w:t>）未中标的投标人的保证金在采购结果公示发出后5个工作日内退还，中标投标人的保证金在采购合同签订后5个工作日内退还。</w:t>
            </w:r>
          </w:p>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w:t>
            </w:r>
            <w:r>
              <w:rPr>
                <w:rFonts w:hint="eastAsia" w:ascii="宋体" w:hAnsi="宋体" w:eastAsia="宋体"/>
                <w:color w:val="auto"/>
                <w:sz w:val="21"/>
                <w:szCs w:val="21"/>
                <w:highlight w:val="none"/>
              </w:rPr>
              <w:t>2</w:t>
            </w:r>
            <w:r>
              <w:rPr>
                <w:rFonts w:hint="eastAsia" w:ascii="宋体" w:hAnsi="宋体" w:eastAsia="宋体"/>
                <w:color w:val="auto"/>
                <w:sz w:val="21"/>
                <w:szCs w:val="21"/>
                <w:highlight w:val="none"/>
                <w:lang w:val="zh-CN"/>
              </w:rPr>
              <w:t>）为方便退还未中标的投保人的保证金，投标人应制作《投标保证金汇入情况说明》随开标文件一并递交。</w:t>
            </w:r>
          </w:p>
          <w:p>
            <w:pPr>
              <w:spacing w:after="0"/>
              <w:jc w:val="both"/>
              <w:rPr>
                <w:rFonts w:eastAsia="宋体"/>
                <w:color w:val="auto"/>
                <w:highlight w:val="none"/>
              </w:rPr>
            </w:pPr>
            <w:r>
              <w:rPr>
                <w:rFonts w:hint="eastAsia" w:ascii="宋体" w:hAnsi="宋体" w:eastAsia="宋体"/>
                <w:color w:val="auto"/>
                <w:sz w:val="21"/>
                <w:szCs w:val="21"/>
                <w:highlight w:val="none"/>
                <w:lang w:val="zh-CN"/>
              </w:rPr>
              <w:t>（</w:t>
            </w:r>
            <w:r>
              <w:rPr>
                <w:rFonts w:hint="eastAsia" w:ascii="宋体" w:hAnsi="宋体" w:eastAsia="宋体"/>
                <w:color w:val="auto"/>
                <w:sz w:val="21"/>
                <w:szCs w:val="21"/>
                <w:highlight w:val="none"/>
              </w:rPr>
              <w:t>3</w:t>
            </w:r>
            <w:r>
              <w:rPr>
                <w:rFonts w:hint="eastAsia" w:ascii="宋体" w:hAnsi="宋体" w:eastAsia="宋体"/>
                <w:color w:val="auto"/>
                <w:sz w:val="21"/>
                <w:szCs w:val="21"/>
                <w:highlight w:val="none"/>
                <w:lang w:val="zh-CN"/>
              </w:rPr>
              <w:t>）投标保证金退还联系电话：</w:t>
            </w:r>
            <w:r>
              <w:rPr>
                <w:rFonts w:hint="eastAsia" w:ascii="宋体" w:hAnsi="宋体" w:eastAsia="宋体"/>
                <w:color w:val="auto"/>
                <w:sz w:val="21"/>
                <w:szCs w:val="21"/>
                <w:highlight w:val="none"/>
              </w:rPr>
              <w:t>0769-</w:t>
            </w:r>
            <w:r>
              <w:rPr>
                <w:rFonts w:hint="eastAsia" w:ascii="宋体" w:hAnsi="宋体" w:eastAsia="宋体"/>
                <w:color w:val="auto"/>
                <w:sz w:val="21"/>
                <w:szCs w:val="21"/>
                <w:highlight w:val="none"/>
                <w:lang w:eastAsia="zh-CN"/>
              </w:rPr>
              <w:t>2168</w:t>
            </w:r>
            <w:r>
              <w:rPr>
                <w:rFonts w:hint="eastAsia" w:ascii="宋体" w:hAnsi="宋体" w:eastAsia="宋体"/>
                <w:color w:val="auto"/>
                <w:sz w:val="21"/>
                <w:szCs w:val="21"/>
                <w:highlight w:val="none"/>
              </w:rPr>
              <w:t>2660-801。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13</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b/>
                <w:color w:val="auto"/>
                <w:sz w:val="21"/>
                <w:szCs w:val="21"/>
                <w:highlight w:val="none"/>
              </w:rPr>
              <w:t>投标有效期</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九十天。</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spacing w:after="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14</w:t>
            </w:r>
          </w:p>
        </w:tc>
        <w:tc>
          <w:tcPr>
            <w:tcW w:w="7532" w:type="dxa"/>
            <w:gridSpan w:val="4"/>
            <w:vAlign w:val="center"/>
          </w:tcPr>
          <w:p>
            <w:pPr>
              <w:spacing w:after="0"/>
              <w:jc w:val="center"/>
              <w:rPr>
                <w:rFonts w:hint="eastAsia" w:ascii="宋体" w:hAnsi="宋体" w:eastAsia="宋体"/>
                <w:color w:val="auto"/>
                <w:sz w:val="21"/>
                <w:szCs w:val="21"/>
                <w:highlight w:val="none"/>
              </w:rPr>
            </w:pPr>
            <w:r>
              <w:rPr>
                <w:rFonts w:hint="eastAsia" w:ascii="宋体" w:hAnsi="宋体" w:eastAsia="宋体"/>
                <w:b/>
                <w:color w:val="auto"/>
                <w:sz w:val="21"/>
                <w:szCs w:val="21"/>
                <w:highlight w:val="none"/>
              </w:rPr>
              <w:t>信用信息查询渠道</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hint="eastAsia" w:ascii="宋体" w:hAnsi="宋体" w:eastAsia="宋体"/>
                <w:color w:val="auto"/>
                <w:sz w:val="21"/>
                <w:szCs w:val="21"/>
                <w:highlight w:val="none"/>
                <w:lang w:val="en-US" w:eastAsia="zh-CN"/>
              </w:rPr>
            </w:pPr>
          </w:p>
        </w:tc>
        <w:tc>
          <w:tcPr>
            <w:tcW w:w="3766" w:type="dxa"/>
            <w:gridSpan w:val="3"/>
            <w:vAlign w:val="center"/>
          </w:tcPr>
          <w:p>
            <w:pPr>
              <w:spacing w:after="0"/>
              <w:jc w:val="center"/>
              <w:rPr>
                <w:rFonts w:hint="eastAsia" w:ascii="宋体" w:hAnsi="宋体" w:eastAsia="宋体"/>
                <w:b/>
                <w:color w:val="auto"/>
                <w:sz w:val="21"/>
                <w:szCs w:val="21"/>
                <w:highlight w:val="none"/>
                <w:lang w:eastAsia="zh-CN"/>
              </w:rPr>
            </w:pPr>
            <w:r>
              <w:rPr>
                <w:rFonts w:hint="eastAsia" w:ascii="宋体" w:hAnsi="宋体" w:eastAsia="宋体"/>
                <w:b/>
                <w:color w:val="auto"/>
                <w:sz w:val="21"/>
                <w:szCs w:val="21"/>
                <w:highlight w:val="none"/>
                <w:lang w:eastAsia="zh-CN"/>
              </w:rPr>
              <w:t>信用中国</w:t>
            </w:r>
          </w:p>
        </w:tc>
        <w:tc>
          <w:tcPr>
            <w:tcW w:w="3766" w:type="dxa"/>
            <w:vAlign w:val="center"/>
          </w:tcPr>
          <w:p>
            <w:pPr>
              <w:spacing w:after="0"/>
              <w:jc w:val="center"/>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中国政府采购网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hint="eastAsia" w:ascii="宋体" w:hAnsi="宋体" w:eastAsia="宋体"/>
                <w:color w:val="auto"/>
                <w:sz w:val="21"/>
                <w:szCs w:val="21"/>
                <w:highlight w:val="none"/>
                <w:lang w:val="en-US" w:eastAsia="zh-CN"/>
              </w:rPr>
            </w:pPr>
          </w:p>
        </w:tc>
        <w:tc>
          <w:tcPr>
            <w:tcW w:w="3766" w:type="dxa"/>
            <w:gridSpan w:val="3"/>
            <w:vAlign w:val="center"/>
          </w:tcPr>
          <w:p>
            <w:pPr>
              <w:spacing w:after="0"/>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https://www.creditchina.gov.cn/</w:t>
            </w:r>
          </w:p>
        </w:tc>
        <w:tc>
          <w:tcPr>
            <w:tcW w:w="3766" w:type="dxa"/>
            <w:vAlign w:val="center"/>
          </w:tcPr>
          <w:p>
            <w:pPr>
              <w:spacing w:after="0"/>
              <w:jc w:val="center"/>
              <w:rPr>
                <w:rFonts w:hint="eastAsia" w:ascii="宋体" w:hAnsi="宋体" w:eastAsia="宋体"/>
                <w:color w:val="auto"/>
                <w:sz w:val="21"/>
                <w:szCs w:val="21"/>
                <w:highlight w:val="none"/>
              </w:rPr>
            </w:pPr>
            <w:r>
              <w:rPr>
                <w:rFonts w:ascii="宋体" w:hAnsi="宋体" w:eastAsia="宋体"/>
                <w:color w:val="auto"/>
                <w:sz w:val="21"/>
                <w:szCs w:val="21"/>
                <w:highlight w:val="none"/>
              </w:rPr>
              <w:t>http://www.ccgp.gov.cn/</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restart"/>
            <w:vAlign w:val="center"/>
          </w:tcPr>
          <w:p>
            <w:pPr>
              <w:spacing w:after="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15</w:t>
            </w:r>
          </w:p>
        </w:tc>
        <w:tc>
          <w:tcPr>
            <w:tcW w:w="7532" w:type="dxa"/>
            <w:gridSpan w:val="4"/>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投标人应提交以下投标文件</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投标文件类型</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份数</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开标文件</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投标文件正本</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投标文件副本</w:t>
            </w:r>
          </w:p>
        </w:tc>
        <w:tc>
          <w:tcPr>
            <w:tcW w:w="4924" w:type="dxa"/>
            <w:gridSpan w:val="3"/>
            <w:vAlign w:val="center"/>
          </w:tcPr>
          <w:p>
            <w:pPr>
              <w:spacing w:after="0"/>
              <w:jc w:val="center"/>
              <w:rPr>
                <w:rFonts w:hint="default" w:ascii="宋体" w:hAnsi="宋体" w:eastAsia="宋体"/>
                <w:b/>
                <w:color w:val="auto"/>
                <w:sz w:val="21"/>
                <w:szCs w:val="21"/>
                <w:highlight w:val="none"/>
                <w:lang w:val="en-US" w:eastAsia="zh-CN"/>
              </w:rPr>
            </w:pPr>
            <w:r>
              <w:rPr>
                <w:rFonts w:hint="eastAsia" w:ascii="宋体" w:hAnsi="宋体" w:eastAsia="宋体"/>
                <w:b/>
                <w:color w:val="auto"/>
                <w:sz w:val="21"/>
                <w:szCs w:val="21"/>
                <w:highlight w:val="none"/>
                <w:lang w:val="en-US" w:eastAsia="zh-CN"/>
              </w:rPr>
              <w:t>5</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电子文档</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PrEx>
        <w:trPr>
          <w:trHeight w:val="857" w:hRule="atLeast"/>
        </w:trPr>
        <w:tc>
          <w:tcPr>
            <w:tcW w:w="8410" w:type="dxa"/>
            <w:gridSpan w:val="5"/>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三、开标与评标</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16</w:t>
            </w: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本项目评标方法</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综合评分法。</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17</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综合评分法评分因素和权重分值</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见附表</w:t>
            </w:r>
            <w:r>
              <w:rPr>
                <w:rFonts w:hint="eastAsia" w:ascii="宋体" w:hAnsi="宋体" w:eastAsia="宋体"/>
                <w:color w:val="auto"/>
                <w:sz w:val="21"/>
                <w:szCs w:val="21"/>
                <w:highlight w:val="none"/>
                <w:lang w:val="en-US" w:eastAsia="zh-CN"/>
              </w:rPr>
              <w:t>二</w:t>
            </w:r>
            <w:r>
              <w:rPr>
                <w:rFonts w:hint="eastAsia" w:ascii="宋体" w:hAnsi="宋体" w:eastAsia="宋体"/>
                <w:color w:val="auto"/>
                <w:sz w:val="21"/>
                <w:szCs w:val="21"/>
                <w:highlight w:val="none"/>
              </w:rPr>
              <w:t>。</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restart"/>
            <w:vAlign w:val="center"/>
          </w:tcPr>
          <w:p>
            <w:pPr>
              <w:spacing w:after="0"/>
              <w:jc w:val="both"/>
              <w:rPr>
                <w:rFonts w:hint="eastAsia" w:ascii="宋体" w:hAnsi="宋体" w:eastAsia="宋体"/>
                <w:color w:val="auto"/>
                <w:sz w:val="21"/>
                <w:szCs w:val="21"/>
                <w:highlight w:val="none"/>
                <w:lang w:val="en-US" w:eastAsia="zh-CN"/>
              </w:rPr>
            </w:pPr>
          </w:p>
          <w:p>
            <w:pPr>
              <w:spacing w:after="0"/>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18（仅适用于政府采</w:t>
            </w:r>
          </w:p>
          <w:p>
            <w:pPr>
              <w:spacing w:after="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购项目）</w:t>
            </w: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小型或微型企业、监狱企业、残疾人福利性单位投标价格折扣标准</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6%。</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投标人符合须知“优惠政策”中联合体规定的投标价格折扣标准</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对于联合协议或者分包意向协议约定小微企业的合同份额占到合同总金额30%以上的，报价给予</w:t>
            </w:r>
            <w:r>
              <w:rPr>
                <w:rFonts w:hint="default" w:ascii="宋体" w:hAnsi="宋体" w:eastAsia="宋体"/>
                <w:b/>
                <w:bCs/>
                <w:color w:val="auto"/>
                <w:sz w:val="21"/>
                <w:szCs w:val="21"/>
                <w:highlight w:val="none"/>
                <w:u w:val="single"/>
              </w:rPr>
              <w:t>2%</w:t>
            </w:r>
            <w:r>
              <w:rPr>
                <w:rFonts w:hint="eastAsia" w:ascii="宋体" w:hAnsi="宋体" w:eastAsia="宋体"/>
                <w:color w:val="auto"/>
                <w:sz w:val="21"/>
                <w:szCs w:val="21"/>
                <w:highlight w:val="none"/>
              </w:rPr>
              <w:t>的扣除。</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b/>
                <w:bCs/>
                <w:color w:val="auto"/>
                <w:sz w:val="21"/>
                <w:szCs w:val="21"/>
                <w:highlight w:val="none"/>
              </w:rPr>
              <w:t>投标人所投产品为获得节能产品认证或环境标志产品认证证书的价格折扣标准（相关规定详见投标人须知“优惠政策”）</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该</w:t>
            </w:r>
            <w:r>
              <w:rPr>
                <w:rFonts w:hint="eastAsia" w:ascii="宋体" w:hAnsi="宋体" w:eastAsia="宋体"/>
                <w:color w:val="auto"/>
                <w:sz w:val="21"/>
                <w:szCs w:val="21"/>
                <w:highlight w:val="none"/>
              </w:rPr>
              <w:t>项节能或环境标志产品折扣3%。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817" w:hRule="atLeast"/>
        </w:trPr>
        <w:tc>
          <w:tcPr>
            <w:tcW w:w="8410" w:type="dxa"/>
            <w:gridSpan w:val="5"/>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四、授予合同</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39" w:hRule="atLeast"/>
        </w:trPr>
        <w:tc>
          <w:tcPr>
            <w:tcW w:w="878" w:type="dxa"/>
            <w:vMerge w:val="restart"/>
            <w:vAlign w:val="center"/>
          </w:tcPr>
          <w:p>
            <w:pPr>
              <w:spacing w:after="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19</w:t>
            </w:r>
          </w:p>
        </w:tc>
        <w:tc>
          <w:tcPr>
            <w:tcW w:w="7532" w:type="dxa"/>
            <w:gridSpan w:val="4"/>
            <w:shd w:val="clear" w:color="auto" w:fill="auto"/>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履约保证金（如有需要）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4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shd w:val="clear" w:color="auto" w:fill="auto"/>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履约保证金的数额为政府采购合同金额的5%。</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65" w:hRule="atLeast"/>
        </w:trPr>
        <w:tc>
          <w:tcPr>
            <w:tcW w:w="878" w:type="dxa"/>
            <w:vMerge w:val="restart"/>
            <w:vAlign w:val="center"/>
          </w:tcPr>
          <w:p>
            <w:pPr>
              <w:spacing w:after="0"/>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20</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中标服务费</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17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1）中标服务费根据国家计委[计价格[2002]1980号]文和国家发改委[发改价格[2011]534号]文及相关规定向中标单位收取，按差额定率累进法计算，以中标通知书中确定的中标总金额作为收费的计算依据；中标服务费最低收费标准为伍仟元整。</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17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（2）中标服务费以转账或现金的形式支付。采购代理机构服务费汇入账号：</w:t>
            </w:r>
          </w:p>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收 款 人：三方诚信招标有限公司东莞分公司</w:t>
            </w:r>
          </w:p>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开户银行：中国工商银行东莞市分行</w:t>
            </w:r>
          </w:p>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账　　号：2010021309900018461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820" w:hRule="atLeast"/>
        </w:trPr>
        <w:tc>
          <w:tcPr>
            <w:tcW w:w="8410" w:type="dxa"/>
            <w:gridSpan w:val="5"/>
            <w:vAlign w:val="center"/>
          </w:tcPr>
          <w:p>
            <w:pPr>
              <w:widowControl w:val="0"/>
              <w:tabs>
                <w:tab w:val="left" w:pos="907"/>
              </w:tabs>
              <w:adjustRightInd/>
              <w:snapToGrid/>
              <w:spacing w:after="0"/>
              <w:ind w:firstLine="420" w:firstLineChars="20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注：本表关于要采购项目的具体资料，是对投标人须知的具体补充和修改，如有矛盾，应以本资料表为准。</w:t>
            </w:r>
          </w:p>
        </w:tc>
      </w:tr>
    </w:tbl>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jc w:val="both"/>
        <w:rPr>
          <w:color w:val="auto"/>
          <w:highlight w:val="none"/>
        </w:rPr>
      </w:pPr>
      <w:r>
        <w:rPr>
          <w:rFonts w:hint="eastAsia"/>
          <w:color w:val="auto"/>
          <w:highlight w:val="none"/>
        </w:rPr>
        <w:br w:type="page"/>
      </w:r>
    </w:p>
    <w:p>
      <w:pPr>
        <w:pStyle w:val="4"/>
        <w:spacing w:before="0" w:after="0" w:line="240" w:lineRule="auto"/>
        <w:jc w:val="center"/>
        <w:rPr>
          <w:rFonts w:hint="eastAsia" w:ascii="宋体" w:hAnsi="宋体" w:eastAsia="宋体" w:cs="宋体"/>
          <w:color w:val="auto"/>
          <w:sz w:val="24"/>
          <w:szCs w:val="24"/>
          <w:highlight w:val="none"/>
          <w:lang w:eastAsia="zh-CN"/>
        </w:rPr>
      </w:pPr>
      <w:bookmarkStart w:id="3" w:name="_Toc11083"/>
      <w:r>
        <w:rPr>
          <w:rFonts w:hint="eastAsia" w:ascii="宋体" w:hAnsi="宋体" w:eastAsia="宋体" w:cs="宋体"/>
          <w:color w:val="auto"/>
          <w:sz w:val="24"/>
          <w:szCs w:val="24"/>
          <w:highlight w:val="none"/>
        </w:rPr>
        <w:t>附表二：商务技术评分及价格权重表</w:t>
      </w:r>
      <w:bookmarkEnd w:id="3"/>
      <w:r>
        <w:rPr>
          <w:rFonts w:hint="eastAsia" w:ascii="宋体" w:hAnsi="宋体" w:eastAsia="宋体" w:cs="宋体"/>
          <w:color w:val="auto"/>
          <w:sz w:val="24"/>
          <w:szCs w:val="24"/>
          <w:highlight w:val="none"/>
          <w:lang w:eastAsia="zh-CN"/>
        </w:rPr>
        <w:t>（适用于包</w:t>
      </w:r>
      <w:r>
        <w:rPr>
          <w:rFonts w:hint="eastAsia" w:ascii="宋体" w:hAnsi="宋体" w:eastAsia="宋体" w:cs="宋体"/>
          <w:color w:val="auto"/>
          <w:sz w:val="24"/>
          <w:szCs w:val="24"/>
          <w:highlight w:val="none"/>
          <w:lang w:val="en-US" w:eastAsia="zh-CN"/>
        </w:rPr>
        <w:t>A、B</w:t>
      </w:r>
      <w:r>
        <w:rPr>
          <w:rFonts w:hint="eastAsia" w:ascii="宋体" w:hAnsi="宋体" w:eastAsia="宋体" w:cs="宋体"/>
          <w:color w:val="auto"/>
          <w:sz w:val="24"/>
          <w:szCs w:val="24"/>
          <w:highlight w:val="none"/>
          <w:lang w:eastAsia="zh-CN"/>
        </w:rPr>
        <w:t>）</w:t>
      </w:r>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07"/>
        <w:gridCol w:w="762"/>
        <w:gridCol w:w="5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9"/>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序号</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pStyle w:val="29"/>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评审项目</w:t>
            </w:r>
          </w:p>
        </w:tc>
        <w:tc>
          <w:tcPr>
            <w:tcW w:w="762" w:type="dxa"/>
            <w:tcBorders>
              <w:top w:val="single" w:color="auto" w:sz="4" w:space="0"/>
              <w:left w:val="single" w:color="auto" w:sz="4" w:space="0"/>
              <w:bottom w:val="single" w:color="auto" w:sz="4" w:space="0"/>
              <w:right w:val="single" w:color="auto" w:sz="4" w:space="0"/>
            </w:tcBorders>
            <w:noWrap w:val="0"/>
            <w:vAlign w:val="center"/>
          </w:tcPr>
          <w:p>
            <w:pPr>
              <w:pStyle w:val="29"/>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分值</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pStyle w:val="29"/>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4"/>
            <w:tcBorders>
              <w:top w:val="single" w:color="auto" w:sz="4" w:space="0"/>
              <w:left w:val="single" w:color="auto" w:sz="4" w:space="0"/>
              <w:bottom w:val="single" w:color="auto" w:sz="4" w:space="0"/>
              <w:right w:val="single" w:color="auto" w:sz="4" w:space="0"/>
            </w:tcBorders>
            <w:noWrap w:val="0"/>
            <w:vAlign w:val="center"/>
          </w:tcPr>
          <w:p>
            <w:pPr>
              <w:pStyle w:val="29"/>
              <w:spacing w:line="340" w:lineRule="exact"/>
              <w:ind w:firstLine="0" w:firstLineChars="0"/>
              <w:jc w:val="center"/>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rPr>
              <w:t>商务评审</w:t>
            </w:r>
            <w:r>
              <w:rPr>
                <w:rFonts w:hint="eastAsia" w:ascii="宋体" w:eastAsia="宋体" w:cs="宋体"/>
                <w:color w:val="auto"/>
                <w:sz w:val="21"/>
                <w:szCs w:val="21"/>
                <w:highlight w:val="none"/>
                <w:lang w:eastAsia="zh-CN"/>
              </w:rPr>
              <w:t>（</w:t>
            </w:r>
            <w:r>
              <w:rPr>
                <w:rFonts w:hint="eastAsia" w:ascii="宋体" w:eastAsia="宋体" w:cs="宋体"/>
                <w:color w:val="auto"/>
                <w:sz w:val="21"/>
                <w:szCs w:val="21"/>
                <w:highlight w:val="none"/>
                <w:lang w:val="en-US" w:eastAsia="zh-CN"/>
              </w:rPr>
              <w:t>20分</w:t>
            </w:r>
            <w:r>
              <w:rPr>
                <w:rFonts w:hint="eastAsia" w:asci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jc w:val="center"/>
        </w:trPr>
        <w:tc>
          <w:tcPr>
            <w:tcW w:w="690" w:type="dxa"/>
            <w:tcBorders>
              <w:top w:val="single" w:color="auto" w:sz="4" w:space="0"/>
              <w:left w:val="single" w:color="auto" w:sz="4" w:space="0"/>
              <w:right w:val="single" w:color="auto" w:sz="4" w:space="0"/>
            </w:tcBorders>
            <w:noWrap w:val="0"/>
            <w:vAlign w:val="center"/>
          </w:tcPr>
          <w:p>
            <w:pPr>
              <w:pStyle w:val="29"/>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607" w:type="dxa"/>
            <w:tcBorders>
              <w:top w:val="single" w:color="auto" w:sz="4" w:space="0"/>
              <w:left w:val="single" w:color="auto" w:sz="4" w:space="0"/>
              <w:right w:val="single" w:color="auto" w:sz="4" w:space="0"/>
            </w:tcBorders>
            <w:noWrap w:val="0"/>
            <w:vAlign w:val="center"/>
          </w:tcPr>
          <w:p>
            <w:pPr>
              <w:pStyle w:val="29"/>
              <w:spacing w:line="340" w:lineRule="exact"/>
              <w:ind w:firstLine="0" w:firstLineChars="0"/>
              <w:jc w:val="center"/>
              <w:rPr>
                <w:rFonts w:ascii="宋体" w:hAnsi="宋体" w:eastAsia="宋体" w:cs="宋体"/>
                <w:color w:val="auto"/>
                <w:kern w:val="2"/>
                <w:sz w:val="21"/>
                <w:szCs w:val="21"/>
                <w:highlight w:val="none"/>
                <w:lang w:val="en-US" w:eastAsia="zh-CN" w:bidi="ar-SA"/>
              </w:rPr>
            </w:pPr>
            <w:r>
              <w:rPr>
                <w:rFonts w:hint="eastAsia" w:ascii="宋体" w:eastAsia="宋体" w:cs="宋体"/>
                <w:color w:val="auto"/>
                <w:sz w:val="21"/>
                <w:szCs w:val="21"/>
                <w:highlight w:val="none"/>
              </w:rPr>
              <w:t>相关业绩</w:t>
            </w:r>
          </w:p>
        </w:tc>
        <w:tc>
          <w:tcPr>
            <w:tcW w:w="762" w:type="dxa"/>
            <w:tcBorders>
              <w:top w:val="single" w:color="auto" w:sz="4" w:space="0"/>
              <w:left w:val="single" w:color="auto" w:sz="4" w:space="0"/>
              <w:bottom w:val="single" w:color="auto" w:sz="4" w:space="0"/>
              <w:right w:val="single" w:color="auto" w:sz="4" w:space="0"/>
            </w:tcBorders>
            <w:noWrap w:val="0"/>
            <w:vAlign w:val="center"/>
          </w:tcPr>
          <w:p>
            <w:pPr>
              <w:pStyle w:val="29"/>
              <w:spacing w:line="340" w:lineRule="exact"/>
              <w:ind w:firstLine="0" w:firstLineChars="0"/>
              <w:jc w:val="center"/>
              <w:rPr>
                <w:rFonts w:hint="default" w:ascii="宋体" w:hAnsi="宋体" w:eastAsia="宋体" w:cs="宋体"/>
                <w:color w:val="auto"/>
                <w:kern w:val="2"/>
                <w:sz w:val="21"/>
                <w:szCs w:val="21"/>
                <w:highlight w:val="none"/>
                <w:lang w:val="en-US" w:eastAsia="zh-CN" w:bidi="ar-SA"/>
              </w:rPr>
            </w:pPr>
            <w:r>
              <w:rPr>
                <w:rFonts w:hint="eastAsia" w:ascii="宋体" w:eastAsia="宋体" w:cs="宋体"/>
                <w:color w:val="auto"/>
                <w:sz w:val="21"/>
                <w:szCs w:val="21"/>
                <w:highlight w:val="none"/>
                <w:lang w:val="en-US" w:eastAsia="zh-CN"/>
              </w:rPr>
              <w:t>15分</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73" w:beforeLines="20" w:after="73" w:afterLines="20" w:line="240" w:lineRule="auto"/>
              <w:ind w:firstLine="420" w:firstLineChars="200"/>
              <w:jc w:val="both"/>
              <w:textAlignment w:val="auto"/>
              <w:rPr>
                <w:rFonts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201</w:t>
            </w:r>
            <w:r>
              <w:rPr>
                <w:rFonts w:hint="eastAsia" w:ascii="宋体" w:hAnsi="宋体" w:eastAsia="宋体" w:cs="宋体"/>
                <w:color w:val="auto"/>
                <w:kern w:val="2"/>
                <w:sz w:val="21"/>
                <w:szCs w:val="21"/>
                <w:highlight w:val="none"/>
                <w:lang w:val="en-US" w:eastAsia="zh-CN" w:bidi="ar-SA"/>
              </w:rPr>
              <w:t>8</w:t>
            </w:r>
            <w:r>
              <w:rPr>
                <w:rFonts w:hint="eastAsia" w:ascii="宋体" w:hAnsi="宋体" w:eastAsia="宋体" w:cs="宋体"/>
                <w:color w:val="auto"/>
                <w:kern w:val="2"/>
                <w:sz w:val="21"/>
                <w:szCs w:val="21"/>
                <w:highlight w:val="none"/>
                <w:lang w:val="zh-CN" w:eastAsia="zh-CN" w:bidi="ar-SA"/>
              </w:rPr>
              <w:t>年以来完成同类（体育用品）项目业绩的每个业绩得</w:t>
            </w: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zh-CN" w:eastAsia="zh-CN" w:bidi="ar-SA"/>
              </w:rPr>
              <w:t>分，其它不得分，最高得</w:t>
            </w:r>
            <w:r>
              <w:rPr>
                <w:rFonts w:hint="eastAsia" w:ascii="宋体" w:hAnsi="宋体" w:eastAsia="宋体" w:cs="宋体"/>
                <w:color w:val="auto"/>
                <w:kern w:val="2"/>
                <w:sz w:val="21"/>
                <w:szCs w:val="21"/>
                <w:highlight w:val="none"/>
                <w:lang w:val="en-US" w:eastAsia="zh-CN" w:bidi="ar-SA"/>
              </w:rPr>
              <w:t>15</w:t>
            </w:r>
            <w:r>
              <w:rPr>
                <w:rFonts w:hint="eastAsia" w:ascii="宋体" w:hAnsi="宋体" w:eastAsia="宋体" w:cs="宋体"/>
                <w:color w:val="auto"/>
                <w:kern w:val="2"/>
                <w:sz w:val="21"/>
                <w:szCs w:val="21"/>
                <w:highlight w:val="none"/>
                <w:lang w:val="zh-CN" w:eastAsia="zh-CN" w:bidi="ar-SA"/>
              </w:rPr>
              <w:t>分。</w:t>
            </w:r>
          </w:p>
          <w:p>
            <w:pPr>
              <w:pStyle w:val="29"/>
              <w:keepNext w:val="0"/>
              <w:keepLines w:val="0"/>
              <w:pageBreakBefore w:val="0"/>
              <w:widowControl w:val="0"/>
              <w:kinsoku/>
              <w:wordWrap/>
              <w:overflowPunct/>
              <w:topLinePunct w:val="0"/>
              <w:autoSpaceDE/>
              <w:autoSpaceDN/>
              <w:bidi w:val="0"/>
              <w:adjustRightInd/>
              <w:snapToGrid/>
              <w:spacing w:before="73" w:beforeLines="20" w:after="73" w:afterLines="20" w:line="240" w:lineRule="auto"/>
              <w:ind w:firstLine="420" w:firstLineChars="200"/>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（提供合同复印件并加盖公章。</w:t>
            </w:r>
            <w:r>
              <w:rPr>
                <w:rFonts w:hint="eastAsia" w:ascii="宋体" w:eastAsia="宋体" w:cs="宋体"/>
                <w:color w:val="auto"/>
                <w:kern w:val="2"/>
                <w:sz w:val="21"/>
                <w:szCs w:val="21"/>
                <w:highlight w:val="none"/>
                <w:lang w:val="zh-CN" w:eastAsia="zh-CN" w:bidi="ar-SA"/>
              </w:rPr>
              <w:t>缺其中一个不得分</w:t>
            </w:r>
            <w:r>
              <w:rPr>
                <w:rFonts w:hint="eastAsia" w:ascii="宋体" w:hAnsi="宋体" w:eastAsia="宋体" w:cs="宋体"/>
                <w:color w:val="auto"/>
                <w:kern w:val="2"/>
                <w:sz w:val="21"/>
                <w:szCs w:val="21"/>
                <w:highlight w:val="none"/>
                <w:lang w:val="zh-CN"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690" w:type="dxa"/>
            <w:tcBorders>
              <w:left w:val="single" w:color="auto" w:sz="4" w:space="0"/>
              <w:right w:val="single" w:color="auto" w:sz="4" w:space="0"/>
            </w:tcBorders>
            <w:noWrap w:val="0"/>
            <w:vAlign w:val="center"/>
          </w:tcPr>
          <w:p>
            <w:pPr>
              <w:pStyle w:val="29"/>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2</w:t>
            </w:r>
          </w:p>
        </w:tc>
        <w:tc>
          <w:tcPr>
            <w:tcW w:w="1607" w:type="dxa"/>
            <w:tcBorders>
              <w:left w:val="single" w:color="auto" w:sz="4" w:space="0"/>
              <w:right w:val="single" w:color="auto" w:sz="4" w:space="0"/>
            </w:tcBorders>
            <w:noWrap w:val="0"/>
            <w:vAlign w:val="center"/>
          </w:tcPr>
          <w:p>
            <w:pPr>
              <w:pStyle w:val="2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eastAsia="宋体" w:cs="宋体"/>
                <w:color w:val="auto"/>
                <w:sz w:val="21"/>
                <w:szCs w:val="21"/>
                <w:highlight w:val="none"/>
                <w:lang w:eastAsia="zh-CN"/>
              </w:rPr>
              <w:t>服务便利性</w:t>
            </w:r>
          </w:p>
        </w:tc>
        <w:tc>
          <w:tcPr>
            <w:tcW w:w="762" w:type="dxa"/>
            <w:tcBorders>
              <w:top w:val="single" w:color="auto" w:sz="4" w:space="0"/>
              <w:left w:val="single" w:color="auto" w:sz="4" w:space="0"/>
              <w:bottom w:val="single" w:color="auto" w:sz="4" w:space="0"/>
              <w:right w:val="single" w:color="auto" w:sz="4" w:space="0"/>
            </w:tcBorders>
            <w:noWrap w:val="0"/>
            <w:vAlign w:val="center"/>
          </w:tcPr>
          <w:p>
            <w:pPr>
              <w:pStyle w:val="29"/>
              <w:spacing w:line="340" w:lineRule="exact"/>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eastAsia="宋体" w:cs="宋体"/>
                <w:color w:val="auto"/>
                <w:sz w:val="21"/>
                <w:szCs w:val="21"/>
                <w:highlight w:val="none"/>
                <w:lang w:val="en-US" w:eastAsia="zh-CN"/>
              </w:rPr>
              <w:t>5分</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73" w:beforeLines="20" w:after="73" w:afterLines="20" w:line="240" w:lineRule="auto"/>
              <w:ind w:firstLine="420" w:firstLineChars="200"/>
              <w:jc w:val="both"/>
              <w:textAlignment w:val="auto"/>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根据投标人提供的服务响应时间承诺进行评分。</w:t>
            </w:r>
          </w:p>
          <w:p>
            <w:pPr>
              <w:keepNext w:val="0"/>
              <w:keepLines w:val="0"/>
              <w:pageBreakBefore w:val="0"/>
              <w:widowControl w:val="0"/>
              <w:kinsoku/>
              <w:wordWrap/>
              <w:overflowPunct/>
              <w:topLinePunct w:val="0"/>
              <w:autoSpaceDE/>
              <w:autoSpaceDN/>
              <w:bidi w:val="0"/>
              <w:adjustRightInd/>
              <w:snapToGrid/>
              <w:spacing w:before="73" w:beforeLines="20" w:after="73" w:afterLines="20" w:line="240" w:lineRule="auto"/>
              <w:ind w:firstLine="420" w:firstLineChars="200"/>
              <w:jc w:val="both"/>
              <w:textAlignment w:val="auto"/>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投标人承诺在接到采购人通知后2小时内到现场，得5分；</w:t>
            </w:r>
          </w:p>
          <w:p>
            <w:pPr>
              <w:keepNext w:val="0"/>
              <w:keepLines w:val="0"/>
              <w:pageBreakBefore w:val="0"/>
              <w:widowControl w:val="0"/>
              <w:kinsoku/>
              <w:wordWrap/>
              <w:overflowPunct/>
              <w:topLinePunct w:val="0"/>
              <w:autoSpaceDE/>
              <w:autoSpaceDN/>
              <w:bidi w:val="0"/>
              <w:adjustRightInd/>
              <w:snapToGrid/>
              <w:spacing w:before="73" w:beforeLines="20" w:after="73" w:afterLines="20" w:line="240" w:lineRule="auto"/>
              <w:ind w:firstLine="420" w:firstLineChars="200"/>
              <w:jc w:val="both"/>
              <w:textAlignment w:val="auto"/>
              <w:rPr>
                <w:rFonts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投标人承诺在接到采购人通知后6小时内到现场，得2分；</w:t>
            </w:r>
          </w:p>
          <w:p>
            <w:pPr>
              <w:keepNext w:val="0"/>
              <w:keepLines w:val="0"/>
              <w:pageBreakBefore w:val="0"/>
              <w:widowControl w:val="0"/>
              <w:kinsoku/>
              <w:wordWrap/>
              <w:overflowPunct/>
              <w:topLinePunct w:val="0"/>
              <w:autoSpaceDE/>
              <w:autoSpaceDN/>
              <w:bidi w:val="0"/>
              <w:adjustRightInd/>
              <w:snapToGrid/>
              <w:spacing w:before="73" w:beforeLines="20" w:after="73" w:afterLines="20" w:line="24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投标人承诺在接到采购人通知后12小时内到现场，得1分；</w:t>
            </w:r>
          </w:p>
          <w:p>
            <w:pPr>
              <w:keepNext w:val="0"/>
              <w:keepLines w:val="0"/>
              <w:pageBreakBefore w:val="0"/>
              <w:widowControl w:val="0"/>
              <w:kinsoku/>
              <w:wordWrap/>
              <w:overflowPunct/>
              <w:topLinePunct w:val="0"/>
              <w:autoSpaceDE/>
              <w:autoSpaceDN/>
              <w:bidi w:val="0"/>
              <w:adjustRightInd/>
              <w:snapToGrid/>
              <w:spacing w:before="73" w:beforeLines="20" w:after="73" w:afterLines="20" w:line="24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其他不得分。</w:t>
            </w:r>
          </w:p>
          <w:p>
            <w:pPr>
              <w:pStyle w:val="29"/>
              <w:keepNext w:val="0"/>
              <w:keepLines w:val="0"/>
              <w:pageBreakBefore w:val="0"/>
              <w:widowControl w:val="0"/>
              <w:kinsoku/>
              <w:wordWrap/>
              <w:overflowPunct/>
              <w:topLinePunct w:val="0"/>
              <w:autoSpaceDE/>
              <w:autoSpaceDN/>
              <w:bidi w:val="0"/>
              <w:adjustRightInd/>
              <w:snapToGrid/>
              <w:spacing w:before="73" w:beforeLines="20" w:after="73" w:afterLines="20" w:line="240" w:lineRule="auto"/>
              <w:ind w:firstLine="420" w:firstLineChars="200"/>
              <w:textAlignment w:val="auto"/>
              <w:rPr>
                <w:rFonts w:hint="eastAsia" w:ascii="宋体" w:hAnsi="宋体" w:eastAsia="宋体" w:cs="宋体"/>
                <w:bCs/>
                <w:color w:val="auto"/>
                <w:kern w:val="2"/>
                <w:sz w:val="21"/>
                <w:szCs w:val="21"/>
                <w:highlight w:val="none"/>
                <w:lang w:val="pt-BR" w:eastAsia="zh-CN" w:bidi="ar-SA"/>
              </w:rPr>
            </w:pPr>
            <w:r>
              <w:rPr>
                <w:rFonts w:hint="eastAsia" w:ascii="宋体" w:hAnsi="宋体" w:eastAsia="宋体" w:cs="宋体"/>
                <w:color w:val="auto"/>
                <w:kern w:val="2"/>
                <w:sz w:val="21"/>
                <w:szCs w:val="21"/>
                <w:highlight w:val="none"/>
                <w:lang w:val="en-US" w:eastAsia="zh-CN" w:bidi="ar-SA"/>
              </w:rPr>
              <w:t>注：投标人需提供服务承诺书，并加盖投标人公章。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4"/>
            <w:tcBorders>
              <w:top w:val="single" w:color="auto" w:sz="4" w:space="0"/>
              <w:left w:val="single" w:color="auto" w:sz="4" w:space="0"/>
              <w:bottom w:val="single" w:color="auto" w:sz="4" w:space="0"/>
              <w:right w:val="single" w:color="auto" w:sz="4" w:space="0"/>
            </w:tcBorders>
            <w:noWrap w:val="0"/>
            <w:vAlign w:val="center"/>
          </w:tcPr>
          <w:p>
            <w:pPr>
              <w:pStyle w:val="2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rPr>
              <w:t>技术评审</w:t>
            </w:r>
            <w:r>
              <w:rPr>
                <w:rFonts w:hint="eastAsia" w:ascii="宋体" w:eastAsia="宋体" w:cs="宋体"/>
                <w:color w:val="auto"/>
                <w:sz w:val="21"/>
                <w:szCs w:val="21"/>
                <w:highlight w:val="none"/>
                <w:lang w:eastAsia="zh-CN"/>
              </w:rPr>
              <w:t>（</w:t>
            </w:r>
            <w:r>
              <w:rPr>
                <w:rFonts w:hint="eastAsia" w:ascii="宋体" w:eastAsia="宋体" w:cs="宋体"/>
                <w:color w:val="auto"/>
                <w:sz w:val="21"/>
                <w:szCs w:val="21"/>
                <w:highlight w:val="none"/>
                <w:lang w:val="en-US" w:eastAsia="zh-CN"/>
              </w:rPr>
              <w:t>50分</w:t>
            </w:r>
            <w:r>
              <w:rPr>
                <w:rFonts w:hint="eastAsia" w:asci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9"/>
              <w:spacing w:line="340" w:lineRule="exact"/>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340" w:lineRule="exact"/>
              <w:ind w:firstLine="0" w:firstLineChars="0"/>
              <w:jc w:val="center"/>
              <w:rPr>
                <w:rFonts w:asci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供货方案</w:t>
            </w:r>
          </w:p>
        </w:tc>
        <w:tc>
          <w:tcPr>
            <w:tcW w:w="76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340" w:lineRule="exact"/>
              <w:ind w:firstLine="0" w:firstLineChars="0"/>
              <w:jc w:val="center"/>
              <w:rPr>
                <w:rFonts w:asci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15分</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73" w:beforeLines="20" w:after="73" w:afterLines="20" w:line="240" w:lineRule="auto"/>
              <w:ind w:firstLine="420" w:firstLineChars="200"/>
              <w:jc w:val="both"/>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根据投标人提供的供货方案进行综合评价。</w:t>
            </w:r>
          </w:p>
          <w:p>
            <w:pPr>
              <w:keepNext w:val="0"/>
              <w:keepLines w:val="0"/>
              <w:pageBreakBefore w:val="0"/>
              <w:widowControl w:val="0"/>
              <w:kinsoku/>
              <w:wordWrap/>
              <w:overflowPunct/>
              <w:topLinePunct w:val="0"/>
              <w:autoSpaceDE/>
              <w:autoSpaceDN/>
              <w:bidi w:val="0"/>
              <w:adjustRightInd/>
              <w:snapToGrid/>
              <w:spacing w:before="73" w:beforeLines="20" w:after="73" w:afterLines="20" w:line="24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供货方案科学完整，有合理的进度安排，可行性强，得15分。</w:t>
            </w:r>
          </w:p>
          <w:p>
            <w:pPr>
              <w:keepNext w:val="0"/>
              <w:keepLines w:val="0"/>
              <w:pageBreakBefore w:val="0"/>
              <w:widowControl w:val="0"/>
              <w:kinsoku/>
              <w:wordWrap/>
              <w:overflowPunct/>
              <w:topLinePunct w:val="0"/>
              <w:autoSpaceDE/>
              <w:autoSpaceDN/>
              <w:bidi w:val="0"/>
              <w:adjustRightInd/>
              <w:snapToGrid/>
              <w:spacing w:before="73" w:beforeLines="20" w:after="73" w:afterLines="20" w:line="24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供货方案基本完整，有基本的进度安排，可行性一般，得10分。</w:t>
            </w:r>
          </w:p>
          <w:p>
            <w:pPr>
              <w:keepNext w:val="0"/>
              <w:keepLines w:val="0"/>
              <w:pageBreakBefore w:val="0"/>
              <w:widowControl w:val="0"/>
              <w:kinsoku/>
              <w:wordWrap/>
              <w:overflowPunct/>
              <w:topLinePunct w:val="0"/>
              <w:autoSpaceDE/>
              <w:autoSpaceDN/>
              <w:bidi w:val="0"/>
              <w:adjustRightInd/>
              <w:snapToGrid/>
              <w:spacing w:before="73" w:beforeLines="20" w:after="73" w:afterLines="20" w:line="24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供货方案简单，可行性差，得5分。</w:t>
            </w:r>
          </w:p>
          <w:p>
            <w:pPr>
              <w:keepNext w:val="0"/>
              <w:keepLines w:val="0"/>
              <w:pageBreakBefore w:val="0"/>
              <w:widowControl w:val="0"/>
              <w:kinsoku/>
              <w:wordWrap/>
              <w:overflowPunct/>
              <w:topLinePunct w:val="0"/>
              <w:autoSpaceDE/>
              <w:autoSpaceDN/>
              <w:bidi w:val="0"/>
              <w:adjustRightInd/>
              <w:snapToGrid/>
              <w:spacing w:before="73" w:beforeLines="20" w:after="73" w:afterLines="20" w:line="240" w:lineRule="auto"/>
              <w:ind w:firstLine="420" w:firstLineChars="200"/>
              <w:jc w:val="both"/>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en-US" w:eastAsia="zh-CN" w:bidi="ar-SA"/>
              </w:rPr>
              <w:t>无提供项目供货方案，得0分。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9"/>
              <w:spacing w:line="340" w:lineRule="exact"/>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400" w:lineRule="exact"/>
              <w:ind w:firstLine="0" w:firstLineChars="0"/>
              <w:jc w:val="center"/>
              <w:rPr>
                <w:rFonts w:asci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产品性能</w:t>
            </w:r>
          </w:p>
        </w:tc>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eastAsia="新宋体" w:cs="宋体"/>
                <w:color w:val="auto"/>
                <w:sz w:val="21"/>
                <w:szCs w:val="21"/>
                <w:highlight w:val="none"/>
                <w:lang w:eastAsia="zh-CN"/>
              </w:rPr>
            </w:pPr>
            <w:r>
              <w:rPr>
                <w:rFonts w:hint="eastAsia" w:ascii="新宋体" w:hAnsi="新宋体" w:eastAsia="新宋体" w:cs="宋体"/>
                <w:bCs/>
                <w:color w:val="auto"/>
                <w:highlight w:val="none"/>
              </w:rPr>
              <w:t>1</w:t>
            </w:r>
            <w:r>
              <w:rPr>
                <w:rFonts w:hint="eastAsia" w:ascii="新宋体" w:hAnsi="新宋体" w:eastAsia="新宋体" w:cs="宋体"/>
                <w:bCs/>
                <w:color w:val="auto"/>
                <w:highlight w:val="none"/>
                <w:lang w:val="en-US" w:eastAsia="zh-CN"/>
              </w:rPr>
              <w:t>0</w:t>
            </w:r>
            <w:r>
              <w:rPr>
                <w:rFonts w:hint="eastAsia" w:ascii="新宋体" w:hAnsi="新宋体" w:eastAsia="新宋体" w:cs="宋体"/>
                <w:bCs/>
                <w:color w:val="auto"/>
                <w:highlight w:val="none"/>
                <w:lang w:eastAsia="zh-CN"/>
              </w:rPr>
              <w:t>分</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73" w:beforeLines="20" w:after="73" w:afterLines="20" w:line="24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根据投标产品的品牌档次、质量、适用性、耐用情况等进行综合评审。</w:t>
            </w:r>
          </w:p>
          <w:p>
            <w:pPr>
              <w:keepNext w:val="0"/>
              <w:keepLines w:val="0"/>
              <w:pageBreakBefore w:val="0"/>
              <w:widowControl w:val="0"/>
              <w:kinsoku/>
              <w:wordWrap/>
              <w:overflowPunct/>
              <w:topLinePunct w:val="0"/>
              <w:autoSpaceDE/>
              <w:autoSpaceDN/>
              <w:bidi w:val="0"/>
              <w:adjustRightInd/>
              <w:snapToGrid/>
              <w:spacing w:before="73" w:beforeLines="20" w:after="73" w:afterLines="20" w:line="24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投标产品完全满足文件要求，适用性强，耐用，得10分。</w:t>
            </w:r>
          </w:p>
          <w:p>
            <w:pPr>
              <w:keepNext w:val="0"/>
              <w:keepLines w:val="0"/>
              <w:pageBreakBefore w:val="0"/>
              <w:widowControl w:val="0"/>
              <w:kinsoku/>
              <w:wordWrap/>
              <w:overflowPunct/>
              <w:topLinePunct w:val="0"/>
              <w:autoSpaceDE/>
              <w:autoSpaceDN/>
              <w:bidi w:val="0"/>
              <w:adjustRightInd/>
              <w:snapToGrid/>
              <w:spacing w:before="73" w:beforeLines="20" w:after="73" w:afterLines="20" w:line="24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投标产品基本满足文件要求，适用性一般，较耐用，得7分。</w:t>
            </w:r>
          </w:p>
          <w:p>
            <w:pPr>
              <w:keepNext w:val="0"/>
              <w:keepLines w:val="0"/>
              <w:pageBreakBefore w:val="0"/>
              <w:widowControl w:val="0"/>
              <w:kinsoku/>
              <w:wordWrap/>
              <w:overflowPunct/>
              <w:topLinePunct w:val="0"/>
              <w:autoSpaceDE/>
              <w:autoSpaceDN/>
              <w:bidi w:val="0"/>
              <w:adjustRightInd/>
              <w:snapToGrid/>
              <w:spacing w:before="73" w:beforeLines="20" w:after="73" w:afterLines="20" w:line="24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投标产品不满足文件要求，适用性差，不耐用，得3分。</w:t>
            </w:r>
          </w:p>
          <w:p>
            <w:pPr>
              <w:keepNext w:val="0"/>
              <w:keepLines w:val="0"/>
              <w:pageBreakBefore w:val="0"/>
              <w:widowControl w:val="0"/>
              <w:kinsoku/>
              <w:wordWrap/>
              <w:overflowPunct/>
              <w:topLinePunct w:val="0"/>
              <w:autoSpaceDE/>
              <w:autoSpaceDN/>
              <w:bidi w:val="0"/>
              <w:adjustRightInd/>
              <w:snapToGrid/>
              <w:spacing w:before="73" w:beforeLines="20" w:after="73" w:afterLines="20" w:line="240" w:lineRule="auto"/>
              <w:ind w:firstLine="420" w:firstLineChars="200"/>
              <w:jc w:val="both"/>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en-US" w:eastAsia="zh-CN" w:bidi="ar-SA"/>
              </w:rPr>
              <w:t>无提供投标产品说明，得0分。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9"/>
              <w:spacing w:line="340" w:lineRule="exact"/>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3</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ind w:firstLine="0" w:firstLineChars="0"/>
              <w:jc w:val="center"/>
              <w:rPr>
                <w:rFonts w:asci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投标样品</w:t>
            </w:r>
          </w:p>
        </w:tc>
        <w:tc>
          <w:tcPr>
            <w:tcW w:w="76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240" w:lineRule="auto"/>
              <w:ind w:firstLine="0" w:firstLineChars="0"/>
              <w:jc w:val="center"/>
              <w:rPr>
                <w:rFonts w:ascii="宋体" w:eastAsia="宋体" w:cs="宋体"/>
                <w:color w:val="auto"/>
                <w:sz w:val="21"/>
                <w:szCs w:val="21"/>
                <w:highlight w:val="none"/>
              </w:rPr>
            </w:pPr>
            <w:r>
              <w:rPr>
                <w:rFonts w:hint="eastAsia" w:ascii="新宋体" w:hAnsi="新宋体" w:eastAsia="新宋体" w:cs="宋体"/>
                <w:bCs/>
                <w:color w:val="auto"/>
                <w:kern w:val="2"/>
                <w:sz w:val="22"/>
                <w:szCs w:val="22"/>
                <w:highlight w:val="none"/>
                <w:lang w:val="en-US" w:eastAsia="zh-CN" w:bidi="ar-SA"/>
              </w:rPr>
              <w:t>15分</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73" w:beforeLines="20" w:after="73" w:afterLines="20" w:line="24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根据投标人提供样品的面料、颜色和款式的质量、舒适性、美观性等进行综合评审：</w:t>
            </w:r>
          </w:p>
          <w:p>
            <w:pPr>
              <w:keepNext w:val="0"/>
              <w:keepLines w:val="0"/>
              <w:pageBreakBefore w:val="0"/>
              <w:widowControl w:val="0"/>
              <w:kinsoku/>
              <w:wordWrap/>
              <w:overflowPunct/>
              <w:topLinePunct w:val="0"/>
              <w:autoSpaceDE/>
              <w:autoSpaceDN/>
              <w:bidi w:val="0"/>
              <w:adjustRightInd/>
              <w:snapToGrid/>
              <w:spacing w:before="73" w:beforeLines="20" w:after="73" w:afterLines="20" w:line="24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面料好、颜色正常、款式新颖、质量好、舒适度高、美观，15分，</w:t>
            </w:r>
          </w:p>
          <w:p>
            <w:pPr>
              <w:keepNext w:val="0"/>
              <w:keepLines w:val="0"/>
              <w:pageBreakBefore w:val="0"/>
              <w:widowControl w:val="0"/>
              <w:kinsoku/>
              <w:wordWrap/>
              <w:overflowPunct/>
              <w:topLinePunct w:val="0"/>
              <w:autoSpaceDE/>
              <w:autoSpaceDN/>
              <w:bidi w:val="0"/>
              <w:adjustRightInd/>
              <w:snapToGrid/>
              <w:spacing w:before="73" w:beforeLines="20" w:after="73" w:afterLines="20" w:line="24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面料较好、颜色正常、款式一般、质量较好、舒适度一般、较美观，10分，</w:t>
            </w:r>
          </w:p>
          <w:p>
            <w:pPr>
              <w:keepNext w:val="0"/>
              <w:keepLines w:val="0"/>
              <w:pageBreakBefore w:val="0"/>
              <w:widowControl w:val="0"/>
              <w:kinsoku/>
              <w:wordWrap/>
              <w:overflowPunct/>
              <w:topLinePunct w:val="0"/>
              <w:autoSpaceDE/>
              <w:autoSpaceDN/>
              <w:bidi w:val="0"/>
              <w:adjustRightInd/>
              <w:snapToGrid/>
              <w:spacing w:before="73" w:beforeLines="20" w:after="73" w:afterLines="20" w:line="24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面料差、颜色正常、款式一般、质量较差、舒适度一般、美观性一般，5分</w:t>
            </w:r>
          </w:p>
          <w:p>
            <w:pPr>
              <w:keepNext w:val="0"/>
              <w:keepLines w:val="0"/>
              <w:pageBreakBefore w:val="0"/>
              <w:widowControl w:val="0"/>
              <w:kinsoku/>
              <w:wordWrap/>
              <w:overflowPunct/>
              <w:topLinePunct w:val="0"/>
              <w:autoSpaceDE/>
              <w:autoSpaceDN/>
              <w:bidi w:val="0"/>
              <w:adjustRightInd/>
              <w:snapToGrid/>
              <w:spacing w:before="73" w:beforeLines="20" w:after="73" w:afterLines="20" w:line="240" w:lineRule="auto"/>
              <w:ind w:firstLine="420" w:firstLineChars="200"/>
              <w:jc w:val="both"/>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en-US" w:eastAsia="zh-CN" w:bidi="ar-SA"/>
              </w:rPr>
              <w:t>未提供样品不得分。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9"/>
              <w:spacing w:line="340" w:lineRule="exact"/>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4</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tabs>
                <w:tab w:val="left" w:pos="8610"/>
              </w:tabs>
              <w:spacing w:line="34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售后服务方案</w:t>
            </w:r>
          </w:p>
        </w:tc>
        <w:tc>
          <w:tcPr>
            <w:tcW w:w="762"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340" w:lineRule="exact"/>
              <w:ind w:firstLine="0" w:firstLineChars="0"/>
              <w:jc w:val="center"/>
              <w:rPr>
                <w:rFonts w:asci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10分</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73" w:beforeLines="20" w:after="73" w:afterLines="20" w:line="24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根据投标人的服务承诺、对本项目提出的合理化建议进行综合评审。</w:t>
            </w:r>
          </w:p>
          <w:p>
            <w:pPr>
              <w:keepNext w:val="0"/>
              <w:keepLines w:val="0"/>
              <w:pageBreakBefore w:val="0"/>
              <w:widowControl w:val="0"/>
              <w:kinsoku/>
              <w:wordWrap/>
              <w:overflowPunct/>
              <w:topLinePunct w:val="0"/>
              <w:autoSpaceDE/>
              <w:autoSpaceDN/>
              <w:bidi w:val="0"/>
              <w:adjustRightInd/>
              <w:snapToGrid/>
              <w:spacing w:before="73" w:beforeLines="20" w:after="73" w:afterLines="20" w:line="24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服务承诺优于文件要求，能对本项目提出科学的合理化建议，针对性强，得10分。</w:t>
            </w:r>
          </w:p>
          <w:p>
            <w:pPr>
              <w:keepNext w:val="0"/>
              <w:keepLines w:val="0"/>
              <w:pageBreakBefore w:val="0"/>
              <w:widowControl w:val="0"/>
              <w:kinsoku/>
              <w:wordWrap/>
              <w:overflowPunct/>
              <w:topLinePunct w:val="0"/>
              <w:autoSpaceDE/>
              <w:autoSpaceDN/>
              <w:bidi w:val="0"/>
              <w:adjustRightInd/>
              <w:snapToGrid/>
              <w:spacing w:before="73" w:beforeLines="20" w:after="73" w:afterLines="20" w:line="24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服务承诺基本满足文件要求，能对本项目提出一定的合理化建议，针对性一般，得6分。</w:t>
            </w:r>
          </w:p>
          <w:p>
            <w:pPr>
              <w:keepNext w:val="0"/>
              <w:keepLines w:val="0"/>
              <w:pageBreakBefore w:val="0"/>
              <w:widowControl w:val="0"/>
              <w:kinsoku/>
              <w:wordWrap/>
              <w:overflowPunct/>
              <w:topLinePunct w:val="0"/>
              <w:autoSpaceDE/>
              <w:autoSpaceDN/>
              <w:bidi w:val="0"/>
              <w:adjustRightInd/>
              <w:snapToGrid/>
              <w:spacing w:before="73" w:beforeLines="20" w:after="73" w:afterLines="20" w:line="24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服务承诺简单，不能对本项目提出合理化建议，得2分。</w:t>
            </w:r>
          </w:p>
          <w:p>
            <w:pPr>
              <w:keepNext w:val="0"/>
              <w:keepLines w:val="0"/>
              <w:pageBreakBefore w:val="0"/>
              <w:widowControl w:val="0"/>
              <w:kinsoku/>
              <w:wordWrap/>
              <w:overflowPunct/>
              <w:topLinePunct w:val="0"/>
              <w:autoSpaceDE/>
              <w:autoSpaceDN/>
              <w:bidi w:val="0"/>
              <w:adjustRightInd/>
              <w:snapToGrid/>
              <w:spacing w:before="73" w:beforeLines="20" w:after="73" w:afterLines="20" w:line="240" w:lineRule="auto"/>
              <w:ind w:firstLine="420" w:firstLineChars="200"/>
              <w:jc w:val="both"/>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en-US" w:eastAsia="zh-CN" w:bidi="ar-SA"/>
              </w:rPr>
              <w:t>无提供服务承诺及合理化建议说明，得0分。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8522" w:type="dxa"/>
            <w:gridSpan w:val="4"/>
            <w:tcBorders>
              <w:top w:val="single" w:color="auto" w:sz="4" w:space="0"/>
              <w:left w:val="single" w:color="auto" w:sz="4" w:space="0"/>
              <w:bottom w:val="single" w:color="auto" w:sz="4" w:space="0"/>
              <w:right w:val="single" w:color="auto" w:sz="4" w:space="0"/>
            </w:tcBorders>
            <w:noWrap w:val="0"/>
            <w:vAlign w:val="center"/>
          </w:tcPr>
          <w:p>
            <w:pPr>
              <w:widowControl w:val="0"/>
              <w:tabs>
                <w:tab w:val="left" w:pos="907"/>
              </w:tabs>
              <w:adjustRightInd/>
              <w:snapToGrid/>
              <w:spacing w:after="0" w:line="360" w:lineRule="exact"/>
              <w:ind w:firstLine="422" w:firstLineChars="200"/>
              <w:jc w:val="both"/>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注：</w:t>
            </w:r>
          </w:p>
          <w:p>
            <w:pPr>
              <w:widowControl w:val="0"/>
              <w:tabs>
                <w:tab w:val="left" w:pos="907"/>
              </w:tabs>
              <w:adjustRightInd/>
              <w:snapToGrid/>
              <w:spacing w:after="0" w:line="360" w:lineRule="exact"/>
              <w:ind w:firstLine="422" w:firstLineChars="200"/>
              <w:jc w:val="both"/>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（1）无特殊说明外，以上评审项，同一证明文件不重复计分。</w:t>
            </w:r>
          </w:p>
          <w:p>
            <w:pPr>
              <w:widowControl w:val="0"/>
              <w:tabs>
                <w:tab w:val="left" w:pos="907"/>
              </w:tabs>
              <w:adjustRightInd/>
              <w:snapToGrid/>
              <w:spacing w:after="0" w:line="360" w:lineRule="exact"/>
              <w:ind w:firstLine="422" w:firstLineChars="200"/>
              <w:jc w:val="both"/>
              <w:rPr>
                <w:rFonts w:hint="eastAsia" w:ascii="宋体" w:eastAsia="宋体" w:cs="宋体"/>
                <w:color w:val="auto"/>
                <w:sz w:val="21"/>
                <w:szCs w:val="21"/>
                <w:highlight w:val="none"/>
              </w:rPr>
            </w:pPr>
            <w:r>
              <w:rPr>
                <w:rFonts w:hint="eastAsia" w:ascii="宋体" w:hAnsi="宋体" w:eastAsia="宋体"/>
                <w:b/>
                <w:color w:val="auto"/>
                <w:sz w:val="21"/>
                <w:szCs w:val="21"/>
                <w:highlight w:val="none"/>
              </w:rPr>
              <w:t>（2）投标人根据以上评分要求提供的</w:t>
            </w:r>
            <w:r>
              <w:rPr>
                <w:rFonts w:hint="eastAsia" w:ascii="宋体" w:hAnsi="宋体" w:eastAsia="宋体"/>
                <w:b/>
                <w:color w:val="auto"/>
                <w:sz w:val="21"/>
                <w:szCs w:val="21"/>
                <w:highlight w:val="none"/>
                <w:lang w:eastAsia="zh-CN"/>
              </w:rPr>
              <w:t>投标材料</w:t>
            </w:r>
            <w:r>
              <w:rPr>
                <w:rFonts w:hint="eastAsia" w:ascii="宋体" w:hAnsi="宋体" w:eastAsia="宋体"/>
                <w:b/>
                <w:color w:val="auto"/>
                <w:sz w:val="21"/>
                <w:szCs w:val="21"/>
                <w:highlight w:val="none"/>
              </w:rPr>
              <w:t>因模糊不清导致评标委员会无法清晰辨认进行评审的，</w:t>
            </w:r>
            <w:r>
              <w:rPr>
                <w:rFonts w:hint="eastAsia" w:ascii="宋体" w:hAnsi="宋体" w:eastAsia="宋体"/>
                <w:b/>
                <w:color w:val="auto"/>
                <w:sz w:val="21"/>
                <w:szCs w:val="21"/>
                <w:highlight w:val="none"/>
                <w:lang w:eastAsia="zh-CN"/>
              </w:rPr>
              <w:t>视为无效材料</w:t>
            </w:r>
            <w:r>
              <w:rPr>
                <w:rFonts w:hint="eastAsia" w:ascii="宋体" w:hAnsi="宋体" w:eastAsia="宋体"/>
                <w:b/>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4"/>
            <w:tcBorders>
              <w:top w:val="single" w:color="auto" w:sz="4" w:space="0"/>
              <w:left w:val="single" w:color="auto" w:sz="4" w:space="0"/>
              <w:bottom w:val="single" w:color="auto" w:sz="4" w:space="0"/>
              <w:right w:val="single" w:color="auto" w:sz="4" w:space="0"/>
            </w:tcBorders>
            <w:noWrap w:val="0"/>
            <w:vAlign w:val="center"/>
          </w:tcPr>
          <w:p>
            <w:pPr>
              <w:pStyle w:val="29"/>
              <w:spacing w:line="340" w:lineRule="exact"/>
              <w:ind w:firstLine="0" w:firstLineChars="0"/>
              <w:jc w:val="center"/>
              <w:rPr>
                <w:rFonts w:hint="eastAsia" w:ascii="宋体" w:eastAsia="宋体" w:cs="宋体"/>
                <w:color w:val="auto"/>
                <w:sz w:val="21"/>
                <w:szCs w:val="21"/>
                <w:highlight w:val="none"/>
                <w:lang w:val="zh-CN" w:eastAsia="zh-CN"/>
              </w:rPr>
            </w:pPr>
            <w:r>
              <w:rPr>
                <w:rFonts w:hint="eastAsia" w:ascii="宋体" w:eastAsia="宋体" w:cs="宋体"/>
                <w:color w:val="auto"/>
                <w:sz w:val="21"/>
                <w:szCs w:val="21"/>
                <w:highlight w:val="none"/>
              </w:rPr>
              <w:t>价格评审</w:t>
            </w:r>
            <w:r>
              <w:rPr>
                <w:rFonts w:hint="eastAsia" w:ascii="宋体" w:eastAsia="宋体" w:cs="宋体"/>
                <w:color w:val="auto"/>
                <w:sz w:val="21"/>
                <w:szCs w:val="21"/>
                <w:highlight w:val="none"/>
                <w:lang w:eastAsia="zh-CN"/>
              </w:rPr>
              <w:t>（</w:t>
            </w:r>
            <w:r>
              <w:rPr>
                <w:rFonts w:hint="eastAsia" w:ascii="宋体" w:eastAsia="宋体" w:cs="宋体"/>
                <w:color w:val="auto"/>
                <w:sz w:val="21"/>
                <w:szCs w:val="21"/>
                <w:highlight w:val="none"/>
                <w:lang w:val="en-US" w:eastAsia="zh-CN"/>
              </w:rPr>
              <w:t>30分</w:t>
            </w:r>
            <w:r>
              <w:rPr>
                <w:rFonts w:hint="eastAsia" w:asci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9"/>
              <w:spacing w:line="340" w:lineRule="exact"/>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w:t>
            </w:r>
          </w:p>
        </w:tc>
        <w:tc>
          <w:tcPr>
            <w:tcW w:w="7832"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tabs>
                <w:tab w:val="left" w:pos="907"/>
              </w:tabs>
              <w:adjustRightInd/>
              <w:snapToGrid/>
              <w:spacing w:after="0" w:line="360" w:lineRule="auto"/>
              <w:ind w:firstLine="420" w:firstLineChars="20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价格分计算方法：满足招标文件要求且投标价格最低的投标报价为评标基准价，其价格分为满分。其他投标人的价格分统一按照下列公式计算：</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投标报价得分=(评标基准价／投标报价)×价格权值</w:t>
            </w:r>
          </w:p>
        </w:tc>
      </w:tr>
    </w:tbl>
    <w:p>
      <w:pPr>
        <w:pStyle w:val="3"/>
        <w:spacing w:before="0" w:after="0" w:line="240" w:lineRule="auto"/>
        <w:rPr>
          <w:color w:val="auto"/>
          <w:sz w:val="28"/>
          <w:szCs w:val="28"/>
          <w:highlight w:val="none"/>
        </w:rPr>
      </w:pPr>
      <w:r>
        <w:rPr>
          <w:rFonts w:hint="eastAsia"/>
          <w:color w:val="auto"/>
          <w:sz w:val="28"/>
          <w:szCs w:val="28"/>
          <w:highlight w:val="none"/>
        </w:rPr>
        <w:br w:type="page"/>
      </w:r>
    </w:p>
    <w:p>
      <w:pPr>
        <w:pStyle w:val="3"/>
        <w:spacing w:before="0" w:after="0" w:line="240" w:lineRule="auto"/>
        <w:rPr>
          <w:color w:val="auto"/>
          <w:sz w:val="36"/>
          <w:szCs w:val="36"/>
          <w:highlight w:val="none"/>
        </w:rPr>
      </w:pPr>
      <w:bookmarkStart w:id="4" w:name="_Toc23932"/>
      <w:r>
        <w:rPr>
          <w:rFonts w:hint="eastAsia"/>
          <w:color w:val="auto"/>
          <w:sz w:val="28"/>
          <w:szCs w:val="28"/>
          <w:highlight w:val="none"/>
        </w:rPr>
        <w:t>第三部分 用户需求书</w:t>
      </w:r>
      <w:bookmarkEnd w:id="4"/>
    </w:p>
    <w:p>
      <w:pPr>
        <w:pStyle w:val="4"/>
        <w:spacing w:before="0" w:after="0" w:line="240" w:lineRule="auto"/>
        <w:jc w:val="center"/>
        <w:rPr>
          <w:rFonts w:hint="eastAsia" w:ascii="宋体" w:hAnsi="宋体" w:eastAsia="宋体" w:cs="宋体"/>
          <w:color w:val="auto"/>
          <w:sz w:val="24"/>
          <w:szCs w:val="24"/>
          <w:highlight w:val="none"/>
          <w:lang w:eastAsia="zh-CN"/>
        </w:rPr>
      </w:pPr>
      <w:bookmarkStart w:id="5" w:name="_Toc3182"/>
      <w:r>
        <w:rPr>
          <w:rFonts w:hint="eastAsia" w:ascii="宋体" w:hAnsi="宋体" w:eastAsia="宋体" w:cs="宋体"/>
          <w:color w:val="auto"/>
          <w:sz w:val="24"/>
          <w:szCs w:val="24"/>
          <w:highlight w:val="none"/>
        </w:rPr>
        <w:t>用户需求明细</w:t>
      </w:r>
      <w:bookmarkEnd w:id="5"/>
      <w:r>
        <w:rPr>
          <w:rFonts w:hint="eastAsia" w:ascii="宋体" w:hAnsi="宋体" w:eastAsia="宋体" w:cs="宋体"/>
          <w:color w:val="auto"/>
          <w:sz w:val="24"/>
          <w:szCs w:val="24"/>
          <w:highlight w:val="none"/>
          <w:lang w:eastAsia="zh-CN"/>
        </w:rPr>
        <w:t>（适用于包</w:t>
      </w:r>
      <w:r>
        <w:rPr>
          <w:rFonts w:hint="eastAsia" w:ascii="宋体" w:hAnsi="宋体" w:eastAsia="宋体" w:cs="宋体"/>
          <w:color w:val="auto"/>
          <w:sz w:val="24"/>
          <w:szCs w:val="24"/>
          <w:highlight w:val="none"/>
          <w:lang w:val="en-US" w:eastAsia="zh-CN"/>
        </w:rPr>
        <w:t>A</w:t>
      </w:r>
      <w:r>
        <w:rPr>
          <w:rFonts w:hint="eastAsia" w:ascii="宋体" w:hAnsi="宋体" w:eastAsia="宋体" w:cs="宋体"/>
          <w:color w:val="auto"/>
          <w:sz w:val="24"/>
          <w:szCs w:val="24"/>
          <w:highlight w:val="none"/>
          <w:lang w:eastAsia="zh-CN"/>
        </w:rPr>
        <w:t>）</w:t>
      </w:r>
    </w:p>
    <w:p>
      <w:pPr>
        <w:spacing w:after="0"/>
        <w:jc w:val="both"/>
        <w:rPr>
          <w:rFonts w:ascii="宋体" w:hAnsi="宋体" w:eastAsia="宋体"/>
          <w:b/>
          <w:color w:val="auto"/>
          <w:sz w:val="24"/>
          <w:highlight w:val="none"/>
        </w:rPr>
      </w:pPr>
    </w:p>
    <w:p>
      <w:pPr>
        <w:pStyle w:val="26"/>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240" w:lineRule="auto"/>
        <w:ind w:leftChars="0"/>
        <w:textAlignment w:val="auto"/>
        <w:outlineLvl w:val="9"/>
        <w:rPr>
          <w:rFonts w:ascii="宋体" w:hAnsi="宋体" w:eastAsia="宋体" w:cs="Times New Roman"/>
          <w:b/>
          <w:bCs/>
          <w:color w:val="auto"/>
          <w:sz w:val="21"/>
          <w:szCs w:val="21"/>
          <w:highlight w:val="none"/>
        </w:rPr>
      </w:pPr>
      <w:r>
        <w:rPr>
          <w:rFonts w:hint="eastAsia" w:ascii="宋体" w:hAnsi="宋体" w:eastAsia="宋体"/>
          <w:b/>
          <w:color w:val="auto"/>
          <w:sz w:val="24"/>
          <w:highlight w:val="none"/>
          <w:lang w:eastAsia="zh-CN"/>
        </w:rPr>
        <w:t>一、运动服装采购清单</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38"/>
        <w:gridCol w:w="1476"/>
        <w:gridCol w:w="638"/>
        <w:gridCol w:w="638"/>
        <w:gridCol w:w="3206"/>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0" w:hRule="atLeast"/>
        </w:trPr>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742"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名称</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37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2183"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技术参数</w:t>
            </w:r>
          </w:p>
        </w:tc>
        <w:tc>
          <w:tcPr>
            <w:tcW w:w="950"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参考图片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34" w:hRule="atLeast"/>
        </w:trPr>
        <w:tc>
          <w:tcPr>
            <w:tcW w:w="374" w:type="pct"/>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42" w:type="pct"/>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olor w:val="auto"/>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运动长套服</w:t>
            </w:r>
          </w:p>
        </w:tc>
        <w:tc>
          <w:tcPr>
            <w:tcW w:w="374" w:type="pct"/>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套</w:t>
            </w:r>
          </w:p>
        </w:tc>
        <w:tc>
          <w:tcPr>
            <w:tcW w:w="374" w:type="pct"/>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470</w:t>
            </w:r>
          </w:p>
        </w:tc>
        <w:tc>
          <w:tcPr>
            <w:tcW w:w="218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73" w:beforeLines="20" w:after="73" w:afterLines="2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面料成分：100%聚酯纤维</w:t>
            </w:r>
          </w:p>
          <w:p>
            <w:pPr>
              <w:keepNext w:val="0"/>
              <w:keepLines w:val="0"/>
              <w:pageBreakBefore w:val="0"/>
              <w:widowControl/>
              <w:suppressLineNumbers w:val="0"/>
              <w:kinsoku/>
              <w:wordWrap/>
              <w:overflowPunct/>
              <w:topLinePunct w:val="0"/>
              <w:autoSpaceDE/>
              <w:autoSpaceDN/>
              <w:bidi w:val="0"/>
              <w:adjustRightInd w:val="0"/>
              <w:snapToGrid w:val="0"/>
              <w:spacing w:before="73" w:beforeLines="20" w:after="73" w:afterLines="2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产品特点：经典款式运动风衣，男女同款运动出场服。个性醒目的颜色搭配，采用梭织风衣材料，穿着简约舒适。科技TPU工艺两侧拉链口袋设计，方便携带物品。</w:t>
            </w:r>
          </w:p>
          <w:p>
            <w:pPr>
              <w:keepNext w:val="0"/>
              <w:keepLines w:val="0"/>
              <w:pageBreakBefore w:val="0"/>
              <w:widowControl/>
              <w:suppressLineNumbers w:val="0"/>
              <w:kinsoku/>
              <w:wordWrap/>
              <w:overflowPunct/>
              <w:topLinePunct w:val="0"/>
              <w:autoSpaceDE/>
              <w:autoSpaceDN/>
              <w:bidi w:val="0"/>
              <w:adjustRightInd w:val="0"/>
              <w:snapToGrid w:val="0"/>
              <w:spacing w:before="73" w:beforeLines="20" w:after="73" w:afterLines="2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尺码：XS-5XL</w:t>
            </w:r>
          </w:p>
        </w:tc>
        <w:tc>
          <w:tcPr>
            <w:tcW w:w="950" w:type="pct"/>
            <w:vMerge w:val="restart"/>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color w:val="auto"/>
                <w:highlight w:val="none"/>
              </w:rPr>
              <w:drawing>
                <wp:anchor distT="0" distB="0" distL="114300" distR="114300" simplePos="0" relativeHeight="251671552" behindDoc="0" locked="0" layoutInCell="1" allowOverlap="1">
                  <wp:simplePos x="0" y="0"/>
                  <wp:positionH relativeFrom="column">
                    <wp:posOffset>250825</wp:posOffset>
                  </wp:positionH>
                  <wp:positionV relativeFrom="paragraph">
                    <wp:posOffset>1457325</wp:posOffset>
                  </wp:positionV>
                  <wp:extent cx="588010" cy="1350645"/>
                  <wp:effectExtent l="0" t="0" r="2540" b="1905"/>
                  <wp:wrapSquare wrapText="bothSides"/>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9"/>
                          <a:stretch>
                            <a:fillRect/>
                          </a:stretch>
                        </pic:blipFill>
                        <pic:spPr>
                          <a:xfrm>
                            <a:off x="0" y="0"/>
                            <a:ext cx="588010" cy="1350645"/>
                          </a:xfrm>
                          <a:prstGeom prst="rect">
                            <a:avLst/>
                          </a:prstGeom>
                          <a:noFill/>
                          <a:ln>
                            <a:noFill/>
                          </a:ln>
                        </pic:spPr>
                      </pic:pic>
                    </a:graphicData>
                  </a:graphic>
                </wp:anchor>
              </w:drawing>
            </w:r>
            <w:r>
              <w:rPr>
                <w:color w:val="auto"/>
                <w:highlight w:val="none"/>
              </w:rPr>
              <w:drawing>
                <wp:anchor distT="0" distB="0" distL="114300" distR="114300" simplePos="0" relativeHeight="251670528" behindDoc="0" locked="0" layoutInCell="1" allowOverlap="1">
                  <wp:simplePos x="0" y="0"/>
                  <wp:positionH relativeFrom="column">
                    <wp:posOffset>84455</wp:posOffset>
                  </wp:positionH>
                  <wp:positionV relativeFrom="paragraph">
                    <wp:posOffset>170815</wp:posOffset>
                  </wp:positionV>
                  <wp:extent cx="964565" cy="1165225"/>
                  <wp:effectExtent l="0" t="0" r="6985" b="15875"/>
                  <wp:wrapSquare wrapText="bothSides"/>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0"/>
                          <a:stretch>
                            <a:fillRect/>
                          </a:stretch>
                        </pic:blipFill>
                        <pic:spPr>
                          <a:xfrm>
                            <a:off x="0" y="0"/>
                            <a:ext cx="964565" cy="116522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29" w:hRule="atLeast"/>
        </w:trPr>
        <w:tc>
          <w:tcPr>
            <w:tcW w:w="374" w:type="pct"/>
            <w:vMerge w:val="continue"/>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742" w:type="pct"/>
            <w:vMerge w:val="continue"/>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374" w:type="pct"/>
            <w:vMerge w:val="continue"/>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374" w:type="pct"/>
            <w:vMerge w:val="continue"/>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2183"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before="73" w:beforeLines="20" w:after="73" w:afterLines="2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面料成分：95%聚酯纤维/5%氨纶                   </w:t>
            </w:r>
          </w:p>
          <w:p>
            <w:pPr>
              <w:keepNext w:val="0"/>
              <w:keepLines w:val="0"/>
              <w:pageBreakBefore w:val="0"/>
              <w:widowControl/>
              <w:suppressLineNumbers w:val="0"/>
              <w:kinsoku/>
              <w:wordWrap/>
              <w:overflowPunct/>
              <w:topLinePunct w:val="0"/>
              <w:autoSpaceDE/>
              <w:autoSpaceDN/>
              <w:bidi w:val="0"/>
              <w:adjustRightInd w:val="0"/>
              <w:snapToGrid w:val="0"/>
              <w:spacing w:before="73" w:beforeLines="20" w:after="73" w:afterLines="2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产品特点：直筒平口卫裤，面料舒适亲肤。腰部松紧设计，自由灵活调节。两侧拉链口袋搭配印花设计，美观又便于收纳随身物品，安全实用。    </w:t>
            </w:r>
          </w:p>
          <w:p>
            <w:pPr>
              <w:keepNext w:val="0"/>
              <w:keepLines w:val="0"/>
              <w:pageBreakBefore w:val="0"/>
              <w:widowControl/>
              <w:suppressLineNumbers w:val="0"/>
              <w:kinsoku/>
              <w:wordWrap/>
              <w:overflowPunct/>
              <w:topLinePunct w:val="0"/>
              <w:autoSpaceDE/>
              <w:autoSpaceDN/>
              <w:bidi w:val="0"/>
              <w:adjustRightInd w:val="0"/>
              <w:snapToGrid w:val="0"/>
              <w:spacing w:before="73" w:beforeLines="20" w:after="73" w:afterLines="2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尺码：XS-5XL</w:t>
            </w:r>
          </w:p>
        </w:tc>
        <w:tc>
          <w:tcPr>
            <w:tcW w:w="950" w:type="pct"/>
            <w:vMerge w:val="continue"/>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40" w:hRule="atLeast"/>
        </w:trPr>
        <w:tc>
          <w:tcPr>
            <w:tcW w:w="374" w:type="pct"/>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742" w:type="pct"/>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POLO</w:t>
            </w:r>
          </w:p>
        </w:tc>
        <w:tc>
          <w:tcPr>
            <w:tcW w:w="374" w:type="pct"/>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件</w:t>
            </w:r>
          </w:p>
        </w:tc>
        <w:tc>
          <w:tcPr>
            <w:tcW w:w="374" w:type="pct"/>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940</w:t>
            </w:r>
          </w:p>
        </w:tc>
        <w:tc>
          <w:tcPr>
            <w:tcW w:w="2183" w:type="pct"/>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面料成分： 54%棉+46%  聚酯纤维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产品特点：经典时尚短袖POLO衫，采用丝盖棉珠地材料，辅于功能性纱线，面料光泽手感好。低领设计使领型更加立体有型，搭配条纹撞色设计打破呆板，撞出时尚感。大胆的侧开脚叉更便于穿着舒适</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男尺码范围： S-6XL</w:t>
            </w:r>
          </w:p>
        </w:tc>
        <w:tc>
          <w:tcPr>
            <w:tcW w:w="950" w:type="pct"/>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color w:val="auto"/>
                <w:highlight w:val="none"/>
              </w:rPr>
              <w:drawing>
                <wp:inline distT="0" distB="0" distL="114300" distR="114300">
                  <wp:extent cx="1080135" cy="1360170"/>
                  <wp:effectExtent l="0" t="0" r="5715" b="11430"/>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11"/>
                          <a:stretch>
                            <a:fillRect/>
                          </a:stretch>
                        </pic:blipFill>
                        <pic:spPr>
                          <a:xfrm>
                            <a:off x="0" y="0"/>
                            <a:ext cx="1080135" cy="136017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70" w:hRule="atLeast"/>
        </w:trPr>
        <w:tc>
          <w:tcPr>
            <w:tcW w:w="374" w:type="pct"/>
            <w:vMerge w:val="continue"/>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742" w:type="pct"/>
            <w:vMerge w:val="continue"/>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374" w:type="pct"/>
            <w:vMerge w:val="continue"/>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374" w:type="pct"/>
            <w:vMerge w:val="continue"/>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2183" w:type="pct"/>
            <w:vMerge w:val="continue"/>
            <w:shd w:val="clear" w:color="auto" w:fill="auto"/>
            <w:vAlign w:val="center"/>
          </w:tcPr>
          <w:p>
            <w:pPr>
              <w:jc w:val="left"/>
              <w:rPr>
                <w:rFonts w:hint="eastAsia" w:ascii="宋体" w:hAnsi="宋体" w:eastAsia="宋体" w:cs="宋体"/>
                <w:i w:val="0"/>
                <w:iCs w:val="0"/>
                <w:color w:val="auto"/>
                <w:sz w:val="21"/>
                <w:szCs w:val="21"/>
                <w:highlight w:val="none"/>
                <w:u w:val="none"/>
              </w:rPr>
            </w:pPr>
          </w:p>
        </w:tc>
        <w:tc>
          <w:tcPr>
            <w:tcW w:w="950"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color w:val="auto"/>
                <w:highlight w:val="none"/>
              </w:rPr>
              <w:drawing>
                <wp:inline distT="0" distB="0" distL="114300" distR="114300">
                  <wp:extent cx="1080135" cy="1245870"/>
                  <wp:effectExtent l="0" t="0" r="5715" b="11430"/>
                  <wp:docPr id="1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pic:cNvPicPr>
                            <a:picLocks noChangeAspect="1"/>
                          </pic:cNvPicPr>
                        </pic:nvPicPr>
                        <pic:blipFill>
                          <a:blip r:embed="rId12"/>
                          <a:stretch>
                            <a:fillRect/>
                          </a:stretch>
                        </pic:blipFill>
                        <pic:spPr>
                          <a:xfrm>
                            <a:off x="0" y="0"/>
                            <a:ext cx="1080135" cy="124587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40" w:hRule="atLeast"/>
        </w:trPr>
        <w:tc>
          <w:tcPr>
            <w:tcW w:w="374" w:type="pct"/>
            <w:vMerge w:val="continue"/>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742" w:type="pct"/>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POLO</w:t>
            </w:r>
          </w:p>
        </w:tc>
        <w:tc>
          <w:tcPr>
            <w:tcW w:w="374" w:type="pct"/>
            <w:vMerge w:val="continue"/>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374" w:type="pct"/>
            <w:vMerge w:val="continue"/>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2183" w:type="pct"/>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面料成分： 54%棉+46%  聚酯纤维              </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产品特点：经典时尚短袖POLO衫，采用丝盖棉珠地材料，辅于功能性纱线，面料光泽手感好。低领设计使领型更加立体有型，搭配条纹撞色设计打破呆板，撞出时尚感。大胆的侧开脚叉更便于穿着舒适</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女尺码范围： XS-3XL</w:t>
            </w:r>
          </w:p>
        </w:tc>
        <w:tc>
          <w:tcPr>
            <w:tcW w:w="950"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color w:val="auto"/>
                <w:highlight w:val="none"/>
              </w:rPr>
              <w:drawing>
                <wp:inline distT="0" distB="0" distL="114300" distR="114300">
                  <wp:extent cx="1080135" cy="1360170"/>
                  <wp:effectExtent l="0" t="0" r="5715" b="11430"/>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11"/>
                          <a:stretch>
                            <a:fillRect/>
                          </a:stretch>
                        </pic:blipFill>
                        <pic:spPr>
                          <a:xfrm>
                            <a:off x="0" y="0"/>
                            <a:ext cx="1080135" cy="136017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40" w:hRule="atLeast"/>
        </w:trPr>
        <w:tc>
          <w:tcPr>
            <w:tcW w:w="374" w:type="pct"/>
            <w:vMerge w:val="continue"/>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742" w:type="pct"/>
            <w:vMerge w:val="continue"/>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374" w:type="pct"/>
            <w:vMerge w:val="continue"/>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374" w:type="pct"/>
            <w:vMerge w:val="continue"/>
            <w:shd w:val="clear" w:color="auto" w:fill="auto"/>
            <w:noWrap/>
            <w:vAlign w:val="center"/>
          </w:tcPr>
          <w:p>
            <w:pPr>
              <w:jc w:val="center"/>
              <w:rPr>
                <w:rFonts w:hint="eastAsia" w:ascii="宋体" w:hAnsi="宋体" w:eastAsia="宋体" w:cs="宋体"/>
                <w:i w:val="0"/>
                <w:iCs w:val="0"/>
                <w:color w:val="auto"/>
                <w:sz w:val="21"/>
                <w:szCs w:val="21"/>
                <w:highlight w:val="none"/>
                <w:u w:val="none"/>
              </w:rPr>
            </w:pPr>
          </w:p>
        </w:tc>
        <w:tc>
          <w:tcPr>
            <w:tcW w:w="2183" w:type="pct"/>
            <w:vMerge w:val="continue"/>
            <w:shd w:val="clear" w:color="auto" w:fill="auto"/>
            <w:vAlign w:val="center"/>
          </w:tcPr>
          <w:p>
            <w:pPr>
              <w:jc w:val="left"/>
              <w:rPr>
                <w:rFonts w:hint="eastAsia" w:ascii="宋体" w:hAnsi="宋体" w:eastAsia="宋体" w:cs="宋体"/>
                <w:i w:val="0"/>
                <w:iCs w:val="0"/>
                <w:color w:val="auto"/>
                <w:sz w:val="21"/>
                <w:szCs w:val="21"/>
                <w:highlight w:val="none"/>
                <w:u w:val="none"/>
              </w:rPr>
            </w:pPr>
          </w:p>
        </w:tc>
        <w:tc>
          <w:tcPr>
            <w:tcW w:w="950" w:type="pct"/>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color w:val="auto"/>
                <w:highlight w:val="none"/>
              </w:rPr>
              <w:drawing>
                <wp:inline distT="0" distB="0" distL="114300" distR="114300">
                  <wp:extent cx="1080135" cy="1318895"/>
                  <wp:effectExtent l="0" t="0" r="5715" b="14605"/>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r:embed="rId13"/>
                          <a:stretch>
                            <a:fillRect/>
                          </a:stretch>
                        </pic:blipFill>
                        <pic:spPr>
                          <a:xfrm>
                            <a:off x="0" y="0"/>
                            <a:ext cx="1080135" cy="131889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80" w:hRule="atLeast"/>
        </w:trPr>
        <w:tc>
          <w:tcPr>
            <w:tcW w:w="374" w:type="pct"/>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742" w:type="pct"/>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慢跑鞋</w:t>
            </w:r>
          </w:p>
        </w:tc>
        <w:tc>
          <w:tcPr>
            <w:tcW w:w="374" w:type="pct"/>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w:t>
            </w:r>
          </w:p>
        </w:tc>
        <w:tc>
          <w:tcPr>
            <w:tcW w:w="374" w:type="pct"/>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470</w:t>
            </w:r>
          </w:p>
        </w:tc>
        <w:tc>
          <w:tcPr>
            <w:tcW w:w="2183" w:type="pct"/>
            <w:vMerge w:val="restart"/>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材质：橡胶大底+IP中底；纺织品+热贴膜</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产品特点：赤霄一体织透气减震跑鞋，鞋面采用一体织莱卡材质，透气舒适。</w:t>
            </w:r>
          </w:p>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男尺码范围：39-45（6.5-11）           </w:t>
            </w:r>
          </w:p>
          <w:p>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女尺码范围：35-40（5-9）</w:t>
            </w:r>
          </w:p>
        </w:tc>
        <w:tc>
          <w:tcPr>
            <w:tcW w:w="9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7" w:hRule="atLeast"/>
        </w:trPr>
        <w:tc>
          <w:tcPr>
            <w:tcW w:w="374" w:type="pct"/>
            <w:vMerge w:val="continue"/>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742" w:type="pct"/>
            <w:vMerge w:val="continue"/>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374" w:type="pct"/>
            <w:vMerge w:val="continue"/>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374" w:type="pct"/>
            <w:vMerge w:val="continue"/>
            <w:shd w:val="clear" w:color="auto" w:fill="auto"/>
            <w:vAlign w:val="center"/>
          </w:tcPr>
          <w:p>
            <w:pPr>
              <w:jc w:val="center"/>
              <w:rPr>
                <w:rFonts w:hint="eastAsia" w:ascii="宋体" w:hAnsi="宋体" w:eastAsia="宋体" w:cs="宋体"/>
                <w:i w:val="0"/>
                <w:iCs w:val="0"/>
                <w:color w:val="auto"/>
                <w:sz w:val="21"/>
                <w:szCs w:val="21"/>
                <w:highlight w:val="none"/>
                <w:u w:val="none"/>
              </w:rPr>
            </w:pPr>
          </w:p>
        </w:tc>
        <w:tc>
          <w:tcPr>
            <w:tcW w:w="2183" w:type="pct"/>
            <w:vMerge w:val="continue"/>
            <w:shd w:val="clear" w:color="auto" w:fill="auto"/>
            <w:vAlign w:val="center"/>
          </w:tcPr>
          <w:p>
            <w:pPr>
              <w:jc w:val="left"/>
              <w:rPr>
                <w:rFonts w:hint="eastAsia" w:ascii="宋体" w:hAnsi="宋体" w:eastAsia="宋体" w:cs="宋体"/>
                <w:i w:val="0"/>
                <w:iCs w:val="0"/>
                <w:color w:val="auto"/>
                <w:sz w:val="21"/>
                <w:szCs w:val="21"/>
                <w:highlight w:val="none"/>
                <w:u w:val="none"/>
              </w:rPr>
            </w:pPr>
          </w:p>
        </w:tc>
        <w:tc>
          <w:tcPr>
            <w:tcW w:w="950"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bl>
    <w:p>
      <w:pPr>
        <w:widowControl w:val="0"/>
        <w:adjustRightInd/>
        <w:snapToGrid/>
        <w:spacing w:after="0" w:line="240" w:lineRule="auto"/>
        <w:jc w:val="both"/>
        <w:rPr>
          <w:rFonts w:hint="eastAsia" w:ascii="Times New Roman" w:hAnsi="Times New Roman" w:eastAsia="宋体" w:cs="Times New Roman"/>
          <w:b/>
          <w:color w:val="auto"/>
          <w:kern w:val="2"/>
          <w:sz w:val="21"/>
          <w:szCs w:val="24"/>
          <w:highlight w:val="none"/>
        </w:rPr>
      </w:pPr>
      <w:r>
        <w:rPr>
          <w:rFonts w:hint="eastAsia" w:ascii="Times New Roman" w:hAnsi="Times New Roman" w:eastAsia="宋体" w:cs="Times New Roman"/>
          <w:b/>
          <w:color w:val="auto"/>
          <w:kern w:val="2"/>
          <w:sz w:val="21"/>
          <w:szCs w:val="24"/>
          <w:highlight w:val="none"/>
        </w:rPr>
        <w:t>注：</w:t>
      </w:r>
    </w:p>
    <w:p>
      <w:pPr>
        <w:keepNext w:val="0"/>
        <w:keepLines w:val="0"/>
        <w:pageBreakBefore w:val="0"/>
        <w:widowControl w:val="0"/>
        <w:kinsoku/>
        <w:wordWrap/>
        <w:overflowPunct/>
        <w:topLinePunct w:val="0"/>
        <w:autoSpaceDE/>
        <w:autoSpaceDN/>
        <w:bidi w:val="0"/>
        <w:adjustRightInd/>
        <w:snapToGrid/>
        <w:spacing w:before="73" w:beforeLines="20" w:after="73" w:afterLines="20" w:line="240" w:lineRule="auto"/>
        <w:ind w:firstLine="420" w:firstLineChars="200"/>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1、递交投标文件时需一并提交</w:t>
      </w:r>
      <w:r>
        <w:rPr>
          <w:rFonts w:hint="eastAsia" w:ascii="宋体" w:hAnsi="宋体" w:eastAsia="宋体" w:cs="宋体"/>
          <w:color w:val="auto"/>
          <w:kern w:val="2"/>
          <w:sz w:val="21"/>
          <w:szCs w:val="21"/>
          <w:highlight w:val="none"/>
          <w:lang w:val="en-US" w:eastAsia="zh-CN"/>
        </w:rPr>
        <w:t>运动服装</w:t>
      </w:r>
      <w:r>
        <w:rPr>
          <w:rFonts w:hint="eastAsia" w:ascii="宋体" w:hAnsi="宋体" w:eastAsia="宋体" w:cs="宋体"/>
          <w:color w:val="auto"/>
          <w:kern w:val="2"/>
          <w:sz w:val="21"/>
          <w:szCs w:val="21"/>
          <w:highlight w:val="none"/>
        </w:rPr>
        <w:t>每项货物样品各1件（套）</w:t>
      </w:r>
      <w:r>
        <w:rPr>
          <w:rFonts w:hint="eastAsia" w:ascii="宋体" w:hAnsi="宋体" w:eastAsia="宋体" w:cs="宋体"/>
          <w:color w:val="auto"/>
          <w:kern w:val="2"/>
          <w:sz w:val="21"/>
          <w:szCs w:val="21"/>
          <w:highlight w:val="none"/>
          <w:lang w:val="en-US" w:eastAsia="zh-CN"/>
        </w:rPr>
        <w:t>，以供评审</w:t>
      </w:r>
      <w:r>
        <w:rPr>
          <w:rFonts w:hint="eastAsia" w:ascii="宋体" w:hAnsi="宋体" w:eastAsia="宋体" w:cs="宋体"/>
          <w:color w:val="auto"/>
          <w:kern w:val="2"/>
          <w:sz w:val="21"/>
          <w:szCs w:val="21"/>
          <w:highlight w:val="none"/>
        </w:rPr>
        <w:t>。</w:t>
      </w:r>
    </w:p>
    <w:p>
      <w:pPr>
        <w:keepNext w:val="0"/>
        <w:keepLines w:val="0"/>
        <w:pageBreakBefore w:val="0"/>
        <w:widowControl w:val="0"/>
        <w:kinsoku/>
        <w:wordWrap/>
        <w:overflowPunct/>
        <w:topLinePunct w:val="0"/>
        <w:autoSpaceDE/>
        <w:autoSpaceDN/>
        <w:bidi w:val="0"/>
        <w:adjustRightInd/>
        <w:snapToGrid/>
        <w:spacing w:before="73" w:beforeLines="20" w:after="73" w:afterLines="20" w:line="240" w:lineRule="auto"/>
        <w:ind w:firstLine="420" w:firstLineChars="200"/>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rPr>
        <w:t>2、必须提供产品实物图片（或图纸），包括货物的主要指标和性能的详细说明。</w:t>
      </w:r>
    </w:p>
    <w:p>
      <w:pPr>
        <w:keepNext w:val="0"/>
        <w:keepLines w:val="0"/>
        <w:pageBreakBefore w:val="0"/>
        <w:widowControl w:val="0"/>
        <w:numPr>
          <w:ilvl w:val="0"/>
          <w:numId w:val="0"/>
        </w:numPr>
        <w:kinsoku/>
        <w:wordWrap/>
        <w:overflowPunct/>
        <w:topLinePunct w:val="0"/>
        <w:autoSpaceDE/>
        <w:autoSpaceDN/>
        <w:bidi w:val="0"/>
        <w:adjustRightInd/>
        <w:snapToGrid/>
        <w:spacing w:before="73" w:beforeLines="20" w:after="73" w:afterLines="20" w:line="240"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、产品性能必须等同或优于本次招标要求，否则采购方有权要求供应商更换货物直至达到技术要求为准。</w:t>
      </w:r>
    </w:p>
    <w:p>
      <w:pPr>
        <w:keepNext w:val="0"/>
        <w:keepLines w:val="0"/>
        <w:pageBreakBefore w:val="0"/>
        <w:widowControl w:val="0"/>
        <w:numPr>
          <w:ilvl w:val="0"/>
          <w:numId w:val="0"/>
        </w:numPr>
        <w:kinsoku/>
        <w:wordWrap/>
        <w:overflowPunct/>
        <w:topLinePunct w:val="0"/>
        <w:autoSpaceDE/>
        <w:autoSpaceDN/>
        <w:bidi w:val="0"/>
        <w:adjustRightInd/>
        <w:snapToGrid/>
        <w:spacing w:before="73" w:beforeLines="20" w:after="73" w:afterLines="20" w:line="240" w:lineRule="auto"/>
        <w:ind w:firstLine="420" w:firstLineChars="200"/>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4、服装及鞋类码数及颜色由采购人根据实际需要提出要求并最后确认后方可供货，中标人需无条件配合采购人调整供货。</w:t>
      </w:r>
    </w:p>
    <w:p>
      <w:pPr>
        <w:pStyle w:val="2"/>
        <w:rPr>
          <w:rFonts w:hint="eastAsia"/>
          <w:color w:val="auto"/>
          <w:highlight w:val="none"/>
          <w:lang w:val="en-US" w:eastAsia="zh-CN"/>
        </w:rPr>
      </w:pPr>
    </w:p>
    <w:p>
      <w:pPr>
        <w:widowControl w:val="0"/>
        <w:adjustRightInd/>
        <w:snapToGrid/>
        <w:spacing w:after="0" w:line="240" w:lineRule="auto"/>
        <w:jc w:val="both"/>
        <w:rPr>
          <w:rFonts w:hint="eastAsia" w:ascii="宋体" w:hAnsi="宋体" w:eastAsia="宋体" w:cs="Times New Roman"/>
          <w:b/>
          <w:bCs/>
          <w:color w:val="auto"/>
          <w:kern w:val="2"/>
          <w:sz w:val="24"/>
          <w:szCs w:val="24"/>
          <w:highlight w:val="none"/>
        </w:rPr>
      </w:pPr>
      <w:r>
        <w:rPr>
          <w:rFonts w:hint="eastAsia" w:ascii="宋体" w:hAnsi="宋体" w:eastAsia="宋体" w:cs="Times New Roman"/>
          <w:b/>
          <w:bCs/>
          <w:color w:val="auto"/>
          <w:kern w:val="2"/>
          <w:sz w:val="24"/>
          <w:szCs w:val="24"/>
          <w:highlight w:val="none"/>
          <w:lang w:eastAsia="zh-CN"/>
        </w:rPr>
        <w:t>二</w:t>
      </w:r>
      <w:r>
        <w:rPr>
          <w:rFonts w:hint="eastAsia" w:ascii="宋体" w:hAnsi="宋体" w:eastAsia="宋体" w:cs="Times New Roman"/>
          <w:b/>
          <w:bCs/>
          <w:color w:val="auto"/>
          <w:kern w:val="2"/>
          <w:sz w:val="24"/>
          <w:szCs w:val="24"/>
          <w:highlight w:val="none"/>
        </w:rPr>
        <w:t>、交货验收与工期</w:t>
      </w:r>
    </w:p>
    <w:p>
      <w:pPr>
        <w:keepNext w:val="0"/>
        <w:keepLines w:val="0"/>
        <w:pageBreakBefore w:val="0"/>
        <w:widowControl w:val="0"/>
        <w:kinsoku/>
        <w:wordWrap/>
        <w:overflowPunct/>
        <w:topLinePunct w:val="0"/>
        <w:autoSpaceDE/>
        <w:autoSpaceDN/>
        <w:bidi w:val="0"/>
        <w:adjustRightInd/>
        <w:snapToGrid/>
        <w:spacing w:before="73" w:beforeLines="20" w:after="73" w:afterLines="20" w:line="24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1、交货期为合同签订后</w:t>
      </w:r>
      <w:r>
        <w:rPr>
          <w:rFonts w:hint="eastAsia" w:ascii="宋体" w:hAnsi="宋体" w:eastAsia="宋体" w:cs="宋体"/>
          <w:b/>
          <w:color w:val="auto"/>
          <w:kern w:val="2"/>
          <w:sz w:val="21"/>
          <w:szCs w:val="21"/>
          <w:highlight w:val="none"/>
        </w:rPr>
        <w:t>2</w:t>
      </w:r>
      <w:r>
        <w:rPr>
          <w:rFonts w:hint="eastAsia" w:ascii="宋体" w:hAnsi="宋体" w:eastAsia="宋体" w:cs="宋体"/>
          <w:b/>
          <w:color w:val="auto"/>
          <w:kern w:val="2"/>
          <w:sz w:val="21"/>
          <w:szCs w:val="21"/>
          <w:highlight w:val="none"/>
          <w:lang w:val="en-US" w:eastAsia="zh-CN"/>
        </w:rPr>
        <w:t>5</w:t>
      </w:r>
      <w:r>
        <w:rPr>
          <w:rFonts w:hint="eastAsia" w:ascii="宋体" w:hAnsi="宋体" w:eastAsia="宋体" w:cs="宋体"/>
          <w:color w:val="auto"/>
          <w:kern w:val="2"/>
          <w:sz w:val="21"/>
          <w:szCs w:val="21"/>
          <w:highlight w:val="none"/>
        </w:rPr>
        <w:t>天内。“</w:t>
      </w:r>
      <w:r>
        <w:rPr>
          <w:rFonts w:hint="eastAsia" w:ascii="宋体" w:hAnsi="宋体" w:eastAsia="宋体" w:cs="宋体"/>
          <w:b/>
          <w:color w:val="auto"/>
          <w:kern w:val="2"/>
          <w:sz w:val="21"/>
          <w:szCs w:val="21"/>
          <w:highlight w:val="none"/>
        </w:rPr>
        <w:t>交货期</w:t>
      </w:r>
      <w:r>
        <w:rPr>
          <w:rFonts w:hint="eastAsia" w:ascii="宋体" w:hAnsi="宋体" w:eastAsia="宋体" w:cs="宋体"/>
          <w:color w:val="auto"/>
          <w:kern w:val="2"/>
          <w:sz w:val="21"/>
          <w:szCs w:val="21"/>
          <w:highlight w:val="none"/>
        </w:rPr>
        <w:t>”指所有货物运抵现场安装调试完毕后交付用户验收的日期。</w:t>
      </w:r>
      <w:r>
        <w:rPr>
          <w:rFonts w:hint="eastAsia" w:ascii="宋体" w:hAnsi="宋体" w:eastAsia="宋体" w:cs="宋体"/>
          <w:b/>
          <w:color w:val="auto"/>
          <w:kern w:val="2"/>
          <w:sz w:val="21"/>
          <w:szCs w:val="21"/>
          <w:highlight w:val="none"/>
        </w:rPr>
        <w:t>本项目交货期可在中标合同内按需方要求约定，中标单位需无条件同意采购单位的合理要求。</w:t>
      </w:r>
    </w:p>
    <w:p>
      <w:pPr>
        <w:keepNext w:val="0"/>
        <w:keepLines w:val="0"/>
        <w:pageBreakBefore w:val="0"/>
        <w:widowControl w:val="0"/>
        <w:kinsoku/>
        <w:wordWrap/>
        <w:overflowPunct/>
        <w:topLinePunct w:val="0"/>
        <w:autoSpaceDE/>
        <w:autoSpaceDN/>
        <w:bidi w:val="0"/>
        <w:adjustRightInd/>
        <w:snapToGrid/>
        <w:spacing w:before="73" w:beforeLines="20" w:after="73" w:afterLines="20" w:line="240"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2、由于供应商的原因未能按时供货的，每迟一天罚款合同总额的0.5%；如超过供货期30天，将终止合同并通过法律程序对供应商进行索赔。</w:t>
      </w:r>
    </w:p>
    <w:p>
      <w:pPr>
        <w:keepNext w:val="0"/>
        <w:keepLines w:val="0"/>
        <w:pageBreakBefore w:val="0"/>
        <w:widowControl w:val="0"/>
        <w:kinsoku/>
        <w:wordWrap/>
        <w:overflowPunct/>
        <w:topLinePunct w:val="0"/>
        <w:autoSpaceDE/>
        <w:autoSpaceDN/>
        <w:bidi w:val="0"/>
        <w:adjustRightInd/>
        <w:snapToGrid/>
        <w:spacing w:before="73" w:beforeLines="20" w:after="73" w:afterLines="20" w:line="240" w:lineRule="auto"/>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    3、为适应国内外竞赛要求，所有器材的品牌、型号、标准在交货前需经采购方最终确认。</w:t>
      </w:r>
    </w:p>
    <w:p>
      <w:pPr>
        <w:widowControl w:val="0"/>
        <w:adjustRightInd/>
        <w:snapToGrid/>
        <w:spacing w:after="0" w:line="240" w:lineRule="auto"/>
        <w:jc w:val="both"/>
        <w:rPr>
          <w:rFonts w:hint="eastAsia" w:ascii="宋体" w:hAnsi="宋体" w:eastAsia="宋体" w:cs="Times New Roman"/>
          <w:b/>
          <w:bCs/>
          <w:color w:val="auto"/>
          <w:kern w:val="2"/>
          <w:sz w:val="24"/>
          <w:szCs w:val="24"/>
          <w:highlight w:val="none"/>
        </w:rPr>
      </w:pPr>
    </w:p>
    <w:p>
      <w:pPr>
        <w:widowControl w:val="0"/>
        <w:adjustRightInd/>
        <w:snapToGrid/>
        <w:spacing w:after="0" w:line="240" w:lineRule="auto"/>
        <w:jc w:val="both"/>
        <w:rPr>
          <w:rFonts w:ascii="宋体" w:hAnsi="宋体" w:eastAsia="宋体" w:cs="Times New Roman"/>
          <w:b/>
          <w:bCs/>
          <w:color w:val="auto"/>
          <w:kern w:val="2"/>
          <w:sz w:val="24"/>
          <w:szCs w:val="24"/>
          <w:highlight w:val="none"/>
        </w:rPr>
      </w:pPr>
      <w:r>
        <w:rPr>
          <w:rFonts w:hint="eastAsia" w:ascii="宋体" w:hAnsi="宋体" w:eastAsia="宋体" w:cs="Times New Roman"/>
          <w:b/>
          <w:bCs/>
          <w:color w:val="auto"/>
          <w:kern w:val="2"/>
          <w:sz w:val="24"/>
          <w:szCs w:val="24"/>
          <w:highlight w:val="none"/>
          <w:lang w:eastAsia="zh-CN"/>
        </w:rPr>
        <w:t>三</w:t>
      </w:r>
      <w:r>
        <w:rPr>
          <w:rFonts w:hint="eastAsia" w:ascii="宋体" w:hAnsi="宋体" w:eastAsia="宋体" w:cs="Times New Roman"/>
          <w:b/>
          <w:bCs/>
          <w:color w:val="auto"/>
          <w:kern w:val="2"/>
          <w:sz w:val="24"/>
          <w:szCs w:val="24"/>
          <w:highlight w:val="none"/>
        </w:rPr>
        <w:t>、付款方式</w:t>
      </w:r>
    </w:p>
    <w:p>
      <w:pPr>
        <w:keepNext w:val="0"/>
        <w:keepLines w:val="0"/>
        <w:pageBreakBefore w:val="0"/>
        <w:widowControl w:val="0"/>
        <w:kinsoku/>
        <w:wordWrap/>
        <w:overflowPunct/>
        <w:topLinePunct w:val="0"/>
        <w:autoSpaceDE/>
        <w:autoSpaceDN/>
        <w:bidi w:val="0"/>
        <w:adjustRightInd/>
        <w:snapToGrid/>
        <w:spacing w:before="73" w:beforeLines="20" w:after="73" w:afterLines="20" w:line="240"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合同签订生效之日起3个工作日内，</w:t>
      </w:r>
      <w:r>
        <w:rPr>
          <w:rFonts w:hint="eastAsia" w:ascii="宋体" w:hAnsi="宋体" w:eastAsia="宋体" w:cs="宋体"/>
          <w:color w:val="auto"/>
          <w:kern w:val="2"/>
          <w:sz w:val="21"/>
          <w:szCs w:val="21"/>
          <w:highlight w:val="none"/>
          <w:lang w:eastAsia="zh-CN"/>
        </w:rPr>
        <w:t>采购人</w:t>
      </w:r>
      <w:r>
        <w:rPr>
          <w:rFonts w:hint="eastAsia" w:ascii="宋体" w:hAnsi="宋体" w:eastAsia="宋体" w:cs="宋体"/>
          <w:color w:val="auto"/>
          <w:kern w:val="2"/>
          <w:sz w:val="21"/>
          <w:szCs w:val="21"/>
          <w:highlight w:val="none"/>
        </w:rPr>
        <w:t>按合同货款预付总额的50%；在全部货品货到验收合格无质量问题后 7个工作日内在退换码完成后一次性付清余款50%的货款。</w:t>
      </w:r>
    </w:p>
    <w:p>
      <w:pPr>
        <w:widowControl w:val="0"/>
        <w:adjustRightInd/>
        <w:snapToGrid/>
        <w:spacing w:after="0" w:line="240" w:lineRule="auto"/>
        <w:jc w:val="both"/>
        <w:rPr>
          <w:rFonts w:ascii="Times New Roman" w:hAnsi="Times New Roman" w:eastAsia="宋体" w:cs="Times New Roman"/>
          <w:color w:val="auto"/>
          <w:kern w:val="2"/>
          <w:sz w:val="21"/>
          <w:szCs w:val="24"/>
          <w:highlight w:val="none"/>
        </w:rPr>
      </w:pPr>
    </w:p>
    <w:p>
      <w:pPr>
        <w:widowControl w:val="0"/>
        <w:adjustRightInd/>
        <w:snapToGrid/>
        <w:spacing w:after="0" w:line="240" w:lineRule="auto"/>
        <w:jc w:val="both"/>
        <w:rPr>
          <w:rFonts w:ascii="宋体" w:hAnsi="宋体" w:eastAsia="宋体" w:cs="Times New Roman"/>
          <w:b/>
          <w:bCs/>
          <w:color w:val="auto"/>
          <w:kern w:val="2"/>
          <w:sz w:val="24"/>
          <w:szCs w:val="24"/>
          <w:highlight w:val="none"/>
        </w:rPr>
      </w:pPr>
      <w:r>
        <w:rPr>
          <w:rFonts w:hint="eastAsia" w:ascii="宋体" w:hAnsi="宋体" w:eastAsia="宋体" w:cs="Times New Roman"/>
          <w:b/>
          <w:bCs/>
          <w:color w:val="auto"/>
          <w:kern w:val="2"/>
          <w:sz w:val="24"/>
          <w:szCs w:val="24"/>
          <w:highlight w:val="none"/>
          <w:lang w:eastAsia="zh-CN"/>
        </w:rPr>
        <w:t>四</w:t>
      </w:r>
      <w:r>
        <w:rPr>
          <w:rFonts w:hint="eastAsia" w:ascii="宋体" w:hAnsi="宋体" w:eastAsia="宋体" w:cs="Times New Roman"/>
          <w:b/>
          <w:bCs/>
          <w:color w:val="auto"/>
          <w:kern w:val="2"/>
          <w:sz w:val="24"/>
          <w:szCs w:val="24"/>
          <w:highlight w:val="none"/>
        </w:rPr>
        <w:t>、售后服务</w:t>
      </w:r>
    </w:p>
    <w:p>
      <w:pPr>
        <w:keepNext w:val="0"/>
        <w:keepLines w:val="0"/>
        <w:pageBreakBefore w:val="0"/>
        <w:widowControl w:val="0"/>
        <w:kinsoku/>
        <w:wordWrap/>
        <w:overflowPunct/>
        <w:topLinePunct w:val="0"/>
        <w:autoSpaceDE/>
        <w:autoSpaceDN/>
        <w:bidi w:val="0"/>
        <w:adjustRightInd/>
        <w:snapToGrid/>
        <w:spacing w:before="73" w:beforeLines="20" w:after="73" w:afterLines="20" w:line="240" w:lineRule="auto"/>
        <w:ind w:firstLine="420" w:firstLineChars="200"/>
        <w:jc w:val="both"/>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1、免费送货上门、安装、调试，并试运行；</w:t>
      </w:r>
    </w:p>
    <w:p>
      <w:pPr>
        <w:keepNext w:val="0"/>
        <w:keepLines w:val="0"/>
        <w:pageBreakBefore w:val="0"/>
        <w:widowControl w:val="0"/>
        <w:kinsoku/>
        <w:wordWrap/>
        <w:overflowPunct/>
        <w:topLinePunct w:val="0"/>
        <w:autoSpaceDE/>
        <w:autoSpaceDN/>
        <w:bidi w:val="0"/>
        <w:adjustRightInd/>
        <w:snapToGrid/>
        <w:spacing w:before="73" w:beforeLines="20" w:after="73" w:afterLines="20" w:line="240"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2、根据采购方需要提供免费日常使用、保养培训；</w:t>
      </w:r>
    </w:p>
    <w:p>
      <w:pPr>
        <w:keepNext w:val="0"/>
        <w:keepLines w:val="0"/>
        <w:pageBreakBefore w:val="0"/>
        <w:widowControl w:val="0"/>
        <w:kinsoku/>
        <w:wordWrap/>
        <w:overflowPunct/>
        <w:topLinePunct w:val="0"/>
        <w:autoSpaceDE/>
        <w:autoSpaceDN/>
        <w:bidi w:val="0"/>
        <w:adjustRightInd/>
        <w:snapToGrid/>
        <w:spacing w:before="73" w:beforeLines="20" w:after="73" w:afterLines="20" w:line="240"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3、非耗材类产品免费保修至少一年（用户单位验收合格之日起计算），终身维护；</w:t>
      </w:r>
    </w:p>
    <w:p>
      <w:pPr>
        <w:keepNext w:val="0"/>
        <w:keepLines w:val="0"/>
        <w:pageBreakBefore w:val="0"/>
        <w:widowControl w:val="0"/>
        <w:kinsoku/>
        <w:wordWrap/>
        <w:overflowPunct/>
        <w:topLinePunct w:val="0"/>
        <w:autoSpaceDE/>
        <w:autoSpaceDN/>
        <w:bidi w:val="0"/>
        <w:adjustRightInd/>
        <w:snapToGrid/>
        <w:spacing w:before="73" w:beforeLines="20" w:after="73" w:afterLines="20" w:line="240"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4、在保修期限内如产品出现故障，须在接用户单位通知后</w:t>
      </w:r>
      <w:r>
        <w:rPr>
          <w:rFonts w:hint="eastAsia" w:ascii="宋体" w:hAnsi="宋体" w:eastAsia="宋体" w:cs="宋体"/>
          <w:color w:val="auto"/>
          <w:kern w:val="2"/>
          <w:sz w:val="21"/>
          <w:szCs w:val="21"/>
          <w:highlight w:val="none"/>
          <w:lang w:val="en-US" w:eastAsia="zh-CN"/>
        </w:rPr>
        <w:t>24</w:t>
      </w:r>
      <w:r>
        <w:rPr>
          <w:rFonts w:hint="eastAsia" w:ascii="宋体" w:hAnsi="宋体" w:eastAsia="宋体" w:cs="宋体"/>
          <w:color w:val="auto"/>
          <w:kern w:val="2"/>
          <w:sz w:val="21"/>
          <w:szCs w:val="21"/>
          <w:highlight w:val="none"/>
        </w:rPr>
        <w:t>小时内赶到现场进行维修，如当日不能修复的，中标商须根据采购方要求提供同等替代产品；</w:t>
      </w:r>
    </w:p>
    <w:p>
      <w:pPr>
        <w:keepNext w:val="0"/>
        <w:keepLines w:val="0"/>
        <w:pageBreakBefore w:val="0"/>
        <w:widowControl w:val="0"/>
        <w:kinsoku/>
        <w:wordWrap/>
        <w:overflowPunct/>
        <w:topLinePunct w:val="0"/>
        <w:autoSpaceDE/>
        <w:autoSpaceDN/>
        <w:bidi w:val="0"/>
        <w:adjustRightInd/>
        <w:snapToGrid/>
        <w:spacing w:before="73" w:beforeLines="20" w:after="73" w:afterLines="20" w:line="240"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5、以上为项目售后服务基本要求，投标人应在此基础上提供详细售后服务方案和有关承诺说明。</w:t>
      </w:r>
    </w:p>
    <w:p>
      <w:pPr>
        <w:widowControl w:val="0"/>
        <w:adjustRightInd/>
        <w:snapToGrid/>
        <w:spacing w:after="0" w:line="240" w:lineRule="auto"/>
        <w:jc w:val="both"/>
        <w:rPr>
          <w:rFonts w:hint="eastAsia" w:ascii="宋体" w:hAnsi="宋体" w:eastAsia="宋体" w:cs="Times New Roman"/>
          <w:b/>
          <w:bCs/>
          <w:color w:val="auto"/>
          <w:kern w:val="2"/>
          <w:sz w:val="24"/>
          <w:szCs w:val="24"/>
          <w:highlight w:val="none"/>
        </w:rPr>
      </w:pPr>
    </w:p>
    <w:p>
      <w:pPr>
        <w:widowControl w:val="0"/>
        <w:adjustRightInd/>
        <w:snapToGrid/>
        <w:spacing w:after="0" w:line="240" w:lineRule="auto"/>
        <w:jc w:val="both"/>
        <w:rPr>
          <w:rFonts w:hint="eastAsia" w:ascii="宋体" w:hAnsi="宋体" w:eastAsia="宋体" w:cs="Times New Roman"/>
          <w:b/>
          <w:bCs/>
          <w:color w:val="auto"/>
          <w:kern w:val="2"/>
          <w:sz w:val="24"/>
          <w:szCs w:val="24"/>
          <w:highlight w:val="none"/>
          <w:lang w:eastAsia="zh-CN"/>
        </w:rPr>
      </w:pPr>
      <w:r>
        <w:rPr>
          <w:rFonts w:hint="eastAsia" w:ascii="宋体" w:hAnsi="宋体" w:eastAsia="宋体" w:cs="Times New Roman"/>
          <w:b/>
          <w:bCs/>
          <w:color w:val="auto"/>
          <w:kern w:val="2"/>
          <w:sz w:val="24"/>
          <w:szCs w:val="24"/>
          <w:highlight w:val="none"/>
          <w:lang w:val="en-US" w:eastAsia="zh-CN"/>
        </w:rPr>
        <w:t>五</w:t>
      </w:r>
      <w:r>
        <w:rPr>
          <w:rFonts w:hint="eastAsia" w:ascii="宋体" w:hAnsi="宋体" w:eastAsia="宋体" w:cs="Times New Roman"/>
          <w:b/>
          <w:bCs/>
          <w:color w:val="auto"/>
          <w:kern w:val="2"/>
          <w:sz w:val="24"/>
          <w:szCs w:val="24"/>
          <w:highlight w:val="none"/>
          <w:lang w:eastAsia="zh-CN"/>
        </w:rPr>
        <w:t>、其他</w:t>
      </w:r>
    </w:p>
    <w:p>
      <w:pPr>
        <w:keepNext w:val="0"/>
        <w:keepLines w:val="0"/>
        <w:pageBreakBefore w:val="0"/>
        <w:widowControl w:val="0"/>
        <w:kinsoku/>
        <w:wordWrap/>
        <w:overflowPunct/>
        <w:topLinePunct w:val="0"/>
        <w:autoSpaceDE/>
        <w:autoSpaceDN/>
        <w:bidi w:val="0"/>
        <w:adjustRightInd/>
        <w:snapToGrid/>
        <w:spacing w:before="73" w:beforeLines="20" w:after="73" w:afterLines="20" w:line="240" w:lineRule="auto"/>
        <w:ind w:firstLine="420" w:firstLineChars="200"/>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技术要求中产品技术参数为参考值，所投产品对应参数可上下浮动不超过10%。招标文件的技术规格中指出的工艺、材料和设备的标准以及参照的品牌、型号或参考图片，来源于网络查询，仅起说明作用，并没有任何限制性。投标人在投标中可以选用替代标准、品牌或型号，但这些替代要实质上满足或超过招标文件的要求。项目评审时，由评标委员会负责对投标人提供的替代标准、品牌或型号的响应性进行审查。</w:t>
      </w:r>
    </w:p>
    <w:p>
      <w:pPr>
        <w:keepNext w:val="0"/>
        <w:keepLines w:val="0"/>
        <w:pageBreakBefore w:val="0"/>
        <w:widowControl w:val="0"/>
        <w:kinsoku/>
        <w:wordWrap/>
        <w:overflowPunct/>
        <w:topLinePunct w:val="0"/>
        <w:autoSpaceDE/>
        <w:autoSpaceDN/>
        <w:bidi w:val="0"/>
        <w:adjustRightInd/>
        <w:snapToGrid/>
        <w:spacing w:before="73" w:beforeLines="20" w:after="73" w:afterLines="20" w:line="240" w:lineRule="auto"/>
        <w:ind w:firstLine="420" w:firstLineChars="200"/>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投标单位应保证提供的货物在不需要增配未列出配件（特别指出的除外）的前提下货物功能、技术标准能够达到招标文件的要求，而无须再增配未列出的配件；如供应商所提供的产品需要增配配件才能达到要求的，所增配的配件须由供应商免费提供。</w:t>
      </w:r>
    </w:p>
    <w:p>
      <w:pPr>
        <w:keepNext w:val="0"/>
        <w:keepLines w:val="0"/>
        <w:pageBreakBefore w:val="0"/>
        <w:widowControl w:val="0"/>
        <w:kinsoku/>
        <w:wordWrap/>
        <w:overflowPunct/>
        <w:topLinePunct w:val="0"/>
        <w:autoSpaceDE/>
        <w:autoSpaceDN/>
        <w:bidi w:val="0"/>
        <w:adjustRightInd/>
        <w:snapToGrid/>
        <w:spacing w:before="73" w:beforeLines="20" w:after="73" w:afterLines="20" w:line="240" w:lineRule="auto"/>
        <w:ind w:firstLine="420" w:firstLineChars="200"/>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3、项目清单为本次采购最低要求，各供应商可以自行优化供货计划，并应严格按照国家相关标准规定及行业标准提供合格的或更优的投标货物。</w:t>
      </w:r>
    </w:p>
    <w:p>
      <w:pPr>
        <w:keepNext w:val="0"/>
        <w:keepLines w:val="0"/>
        <w:pageBreakBefore w:val="0"/>
        <w:widowControl w:val="0"/>
        <w:kinsoku/>
        <w:wordWrap/>
        <w:overflowPunct/>
        <w:topLinePunct w:val="0"/>
        <w:autoSpaceDE/>
        <w:autoSpaceDN/>
        <w:bidi w:val="0"/>
        <w:adjustRightInd/>
        <w:snapToGrid/>
        <w:spacing w:before="73" w:beforeLines="20" w:after="73" w:afterLines="20" w:line="240" w:lineRule="auto"/>
        <w:ind w:firstLine="420" w:firstLineChars="200"/>
        <w:jc w:val="both"/>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4、投标报价及分项报价均不得超出预算价。</w:t>
      </w:r>
    </w:p>
    <w:p>
      <w:pPr>
        <w:pStyle w:val="2"/>
        <w:rPr>
          <w:color w:val="auto"/>
          <w:highlight w:val="none"/>
        </w:rPr>
      </w:pPr>
    </w:p>
    <w:p>
      <w:pPr>
        <w:spacing w:after="0" w:line="360" w:lineRule="auto"/>
        <w:ind w:firstLine="422" w:firstLineChars="200"/>
        <w:rPr>
          <w:rFonts w:ascii="宋体" w:hAnsi="宋体" w:eastAsia="宋体" w:cs="Times New Roman"/>
          <w:b/>
          <w:bCs/>
          <w:color w:val="auto"/>
          <w:sz w:val="21"/>
          <w:szCs w:val="21"/>
          <w:highlight w:val="none"/>
        </w:rPr>
      </w:pPr>
      <w:bookmarkStart w:id="6" w:name="_Toc24679"/>
      <w:bookmarkStart w:id="7" w:name="_Toc31278"/>
      <w:bookmarkStart w:id="8" w:name="_Toc14462"/>
      <w:bookmarkStart w:id="9" w:name="_Toc13112"/>
    </w:p>
    <w:p>
      <w:pPr>
        <w:spacing w:after="0" w:line="360" w:lineRule="auto"/>
        <w:ind w:firstLine="422" w:firstLineChars="200"/>
        <w:rPr>
          <w:rFonts w:hint="eastAsia"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t>注：不满足招标文件中 “★”条款的投标文件将作无效投标处理。</w:t>
      </w:r>
      <w:bookmarkEnd w:id="6"/>
      <w:bookmarkEnd w:id="7"/>
      <w:bookmarkEnd w:id="8"/>
      <w:bookmarkEnd w:id="9"/>
    </w:p>
    <w:p>
      <w:pPr>
        <w:rPr>
          <w:rFonts w:hint="eastAsia" w:ascii="宋体" w:hAnsi="宋体" w:eastAsia="宋体" w:cs="Times New Roman"/>
          <w:b/>
          <w:bCs/>
          <w:color w:val="auto"/>
          <w:sz w:val="21"/>
          <w:szCs w:val="21"/>
          <w:highlight w:val="none"/>
        </w:rPr>
      </w:pPr>
      <w:r>
        <w:rPr>
          <w:rFonts w:hint="eastAsia" w:ascii="宋体" w:hAnsi="宋体" w:eastAsia="宋体" w:cs="Times New Roman"/>
          <w:b/>
          <w:bCs/>
          <w:color w:val="auto"/>
          <w:sz w:val="21"/>
          <w:szCs w:val="21"/>
          <w:highlight w:val="none"/>
        </w:rPr>
        <w:br w:type="page"/>
      </w:r>
    </w:p>
    <w:p>
      <w:pPr>
        <w:pStyle w:val="4"/>
        <w:spacing w:before="0" w:after="0" w:line="24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用户需求明细</w:t>
      </w:r>
      <w:r>
        <w:rPr>
          <w:rFonts w:hint="eastAsia" w:ascii="宋体" w:hAnsi="宋体" w:eastAsia="宋体" w:cs="宋体"/>
          <w:color w:val="auto"/>
          <w:sz w:val="24"/>
          <w:szCs w:val="24"/>
          <w:highlight w:val="none"/>
          <w:lang w:eastAsia="zh-CN"/>
        </w:rPr>
        <w:t>（适用于包</w:t>
      </w:r>
      <w:r>
        <w:rPr>
          <w:rFonts w:hint="eastAsia" w:ascii="宋体" w:hAnsi="宋体" w:eastAsia="宋体" w:cs="宋体"/>
          <w:color w:val="auto"/>
          <w:sz w:val="24"/>
          <w:szCs w:val="24"/>
          <w:highlight w:val="none"/>
          <w:lang w:val="en-US" w:eastAsia="zh-CN"/>
        </w:rPr>
        <w:t>B</w:t>
      </w:r>
      <w:r>
        <w:rPr>
          <w:rFonts w:hint="eastAsia" w:ascii="宋体" w:hAnsi="宋体" w:eastAsia="宋体" w:cs="宋体"/>
          <w:color w:val="auto"/>
          <w:sz w:val="24"/>
          <w:szCs w:val="24"/>
          <w:highlight w:val="none"/>
          <w:lang w:eastAsia="zh-CN"/>
        </w:rPr>
        <w:t>）</w:t>
      </w:r>
    </w:p>
    <w:p>
      <w:pPr>
        <w:pStyle w:val="26"/>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240" w:lineRule="auto"/>
        <w:ind w:leftChars="0"/>
        <w:textAlignment w:val="auto"/>
        <w:outlineLvl w:val="9"/>
        <w:rPr>
          <w:rFonts w:hint="eastAsia" w:ascii="宋体" w:hAnsi="宋体" w:eastAsia="宋体"/>
          <w:b/>
          <w:color w:val="auto"/>
          <w:sz w:val="24"/>
          <w:highlight w:val="none"/>
          <w:lang w:eastAsia="zh-CN"/>
        </w:rPr>
      </w:pPr>
      <w:r>
        <w:rPr>
          <w:rFonts w:hint="eastAsia" w:ascii="宋体" w:hAnsi="宋体" w:eastAsia="宋体"/>
          <w:b/>
          <w:color w:val="auto"/>
          <w:sz w:val="24"/>
          <w:highlight w:val="none"/>
          <w:lang w:eastAsia="zh-CN"/>
        </w:rPr>
        <w:t>一、羽毛球器材采购清单</w:t>
      </w:r>
    </w:p>
    <w:p>
      <w:pPr>
        <w:pStyle w:val="26"/>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240" w:lineRule="auto"/>
        <w:ind w:leftChars="0"/>
        <w:textAlignment w:val="auto"/>
        <w:outlineLvl w:val="9"/>
        <w:rPr>
          <w:rFonts w:hint="default" w:ascii="宋体" w:hAnsi="宋体" w:eastAsia="宋体"/>
          <w:b/>
          <w:color w:val="auto"/>
          <w:sz w:val="22"/>
          <w:szCs w:val="21"/>
          <w:highlight w:val="none"/>
          <w:lang w:val="en-US" w:eastAsia="zh-CN"/>
        </w:rPr>
      </w:pPr>
      <w:r>
        <w:rPr>
          <w:rFonts w:hint="eastAsia" w:ascii="宋体" w:hAnsi="宋体" w:eastAsia="宋体"/>
          <w:b/>
          <w:color w:val="auto"/>
          <w:sz w:val="22"/>
          <w:szCs w:val="21"/>
          <w:highlight w:val="none"/>
          <w:lang w:val="en-US" w:eastAsia="zh-CN"/>
        </w:rPr>
        <w:t>1、器材参数表</w:t>
      </w:r>
    </w:p>
    <w:tbl>
      <w:tblPr>
        <w:tblStyle w:val="18"/>
        <w:tblW w:w="4998" w:type="pct"/>
        <w:tblInd w:w="0" w:type="dxa"/>
        <w:shd w:val="clear" w:color="auto" w:fill="auto"/>
        <w:tblLayout w:type="fixed"/>
        <w:tblCellMar>
          <w:top w:w="0" w:type="dxa"/>
          <w:left w:w="108" w:type="dxa"/>
          <w:bottom w:w="0" w:type="dxa"/>
          <w:right w:w="108" w:type="dxa"/>
        </w:tblCellMar>
      </w:tblPr>
      <w:tblGrid>
        <w:gridCol w:w="637"/>
        <w:gridCol w:w="696"/>
        <w:gridCol w:w="818"/>
        <w:gridCol w:w="1733"/>
        <w:gridCol w:w="3358"/>
        <w:gridCol w:w="638"/>
        <w:gridCol w:w="639"/>
      </w:tblGrid>
      <w:tr>
        <w:tblPrEx>
          <w:shd w:val="clear" w:color="auto" w:fill="auto"/>
          <w:tblCellMar>
            <w:top w:w="0" w:type="dxa"/>
            <w:left w:w="108" w:type="dxa"/>
            <w:bottom w:w="0" w:type="dxa"/>
            <w:right w:w="108" w:type="dxa"/>
          </w:tblCellMar>
        </w:tblPrEx>
        <w:trPr>
          <w:trHeight w:val="65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名称</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颜色</w:t>
            </w:r>
          </w:p>
        </w:tc>
        <w:tc>
          <w:tcPr>
            <w:tcW w:w="1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参考图片</w:t>
            </w:r>
          </w:p>
        </w:tc>
        <w:tc>
          <w:tcPr>
            <w:tcW w:w="1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参数</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单位</w:t>
            </w:r>
          </w:p>
        </w:tc>
      </w:tr>
      <w:tr>
        <w:tblPrEx>
          <w:tblCellMar>
            <w:top w:w="0" w:type="dxa"/>
            <w:left w:w="108" w:type="dxa"/>
            <w:bottom w:w="0" w:type="dxa"/>
            <w:right w:w="108" w:type="dxa"/>
          </w:tblCellMar>
        </w:tblPrEx>
        <w:trPr>
          <w:trHeight w:val="126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olor w:val="auto"/>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羽毛球</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auto"/>
                <w:sz w:val="21"/>
                <w:szCs w:val="21"/>
                <w:highlight w:val="none"/>
                <w:u w:val="none"/>
              </w:rPr>
            </w:pPr>
          </w:p>
        </w:tc>
        <w:tc>
          <w:tcPr>
            <w:tcW w:w="1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auto"/>
                <w:sz w:val="21"/>
                <w:szCs w:val="21"/>
                <w:highlight w:val="none"/>
                <w:u w:val="none"/>
              </w:rPr>
            </w:pPr>
            <w:bookmarkStart w:id="217" w:name="_GoBack"/>
            <w:bookmarkEnd w:id="217"/>
          </w:p>
        </w:tc>
        <w:tc>
          <w:tcPr>
            <w:tcW w:w="197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after="0"/>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毛片材料：鹚鸪鸭毛，全圆，大方</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球头材料：复合软木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特点：飞行稳定，耐打性好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适用于高等级比赛用球、俱乐部训练</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1000</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打</w:t>
            </w:r>
          </w:p>
        </w:tc>
      </w:tr>
      <w:tr>
        <w:tblPrEx>
          <w:tblCellMar>
            <w:top w:w="0" w:type="dxa"/>
            <w:left w:w="108" w:type="dxa"/>
            <w:bottom w:w="0" w:type="dxa"/>
            <w:right w:w="108" w:type="dxa"/>
          </w:tblCellMar>
        </w:tblPrEx>
        <w:trPr>
          <w:trHeight w:val="2220" w:hRule="atLeast"/>
        </w:trPr>
        <w:tc>
          <w:tcPr>
            <w:tcW w:w="37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40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羽毛球地胶</w:t>
            </w: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auto"/>
                <w:sz w:val="21"/>
                <w:szCs w:val="21"/>
                <w:highlight w:val="none"/>
                <w:u w:val="none"/>
              </w:rPr>
            </w:pPr>
          </w:p>
        </w:tc>
        <w:tc>
          <w:tcPr>
            <w:tcW w:w="10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bdr w:val="single" w:color="000000" w:sz="4" w:space="0"/>
                <w:shd w:val="clear" w:fill="FFFFFF"/>
                <w:lang w:val="en-US" w:eastAsia="zh-CN" w:bidi="ar"/>
              </w:rPr>
              <w:drawing>
                <wp:anchor distT="0" distB="0" distL="114300" distR="114300" simplePos="0" relativeHeight="251659264" behindDoc="0" locked="0" layoutInCell="1" allowOverlap="1">
                  <wp:simplePos x="0" y="0"/>
                  <wp:positionH relativeFrom="column">
                    <wp:posOffset>-13970</wp:posOffset>
                  </wp:positionH>
                  <wp:positionV relativeFrom="paragraph">
                    <wp:posOffset>795655</wp:posOffset>
                  </wp:positionV>
                  <wp:extent cx="1003300" cy="957580"/>
                  <wp:effectExtent l="0" t="0" r="6350" b="13970"/>
                  <wp:wrapSquare wrapText="bothSides"/>
                  <wp:docPr id="5" name="图片_2"/>
                  <wp:cNvGraphicFramePr/>
                  <a:graphic xmlns:a="http://schemas.openxmlformats.org/drawingml/2006/main">
                    <a:graphicData uri="http://schemas.openxmlformats.org/drawingml/2006/picture">
                      <pic:pic xmlns:pic="http://schemas.openxmlformats.org/drawingml/2006/picture">
                        <pic:nvPicPr>
                          <pic:cNvPr id="5" name="图片_2"/>
                          <pic:cNvPicPr/>
                        </pic:nvPicPr>
                        <pic:blipFill>
                          <a:blip r:embed="rId14"/>
                          <a:stretch>
                            <a:fillRect/>
                          </a:stretch>
                        </pic:blipFill>
                        <pic:spPr>
                          <a:xfrm>
                            <a:off x="0" y="0"/>
                            <a:ext cx="1003300" cy="957580"/>
                          </a:xfrm>
                          <a:prstGeom prst="rect">
                            <a:avLst/>
                          </a:prstGeom>
                          <a:noFill/>
                          <a:ln>
                            <a:noFill/>
                          </a:ln>
                        </pic:spPr>
                      </pic:pic>
                    </a:graphicData>
                  </a:graphic>
                </wp:anchor>
              </w:drawing>
            </w:r>
          </w:p>
        </w:tc>
        <w:tc>
          <w:tcPr>
            <w:tcW w:w="197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after="0"/>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面层：全PVC材料，厚度为0.9mm，砂粒纹路。具有出色的耐磨性和止滑性 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中间层：采用高强、300D玻璃纤维网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稳定层：网布增加发泡层稳定性，使运动员有更佳的发挥</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发泡层：聚合度800纯PVC发泡层，厚度为3mm，具有反弹性及吸震性</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底层：底面为554型纹路采用涩感、防水、防霉抗菌处理，适合的回弹性和标准的吸震性，隔音效果好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规格：15m x6.8m</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片</w:t>
            </w:r>
          </w:p>
        </w:tc>
      </w:tr>
      <w:tr>
        <w:tblPrEx>
          <w:tblCellMar>
            <w:top w:w="0" w:type="dxa"/>
            <w:left w:w="108" w:type="dxa"/>
            <w:bottom w:w="0" w:type="dxa"/>
            <w:right w:w="108" w:type="dxa"/>
          </w:tblCellMar>
        </w:tblPrEx>
        <w:trPr>
          <w:trHeight w:val="1203" w:hRule="atLeast"/>
        </w:trPr>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羽毛球专业比赛鞋</w:t>
            </w: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黑色</w:t>
            </w:r>
          </w:p>
        </w:tc>
        <w:tc>
          <w:tcPr>
            <w:tcW w:w="10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auto"/>
                <w:sz w:val="21"/>
                <w:szCs w:val="21"/>
                <w:highlight w:val="none"/>
                <w:u w:val="none"/>
              </w:rPr>
            </w:pPr>
            <w:r>
              <w:rPr>
                <w:color w:val="auto"/>
                <w:sz w:val="21"/>
                <w:highlight w:val="none"/>
              </w:rPr>
              <mc:AlternateContent>
                <mc:Choice Requires="wps">
                  <w:drawing>
                    <wp:anchor distT="0" distB="0" distL="114300" distR="114300" simplePos="0" relativeHeight="251664384" behindDoc="0" locked="0" layoutInCell="1" allowOverlap="1">
                      <wp:simplePos x="0" y="0"/>
                      <wp:positionH relativeFrom="column">
                        <wp:posOffset>762000</wp:posOffset>
                      </wp:positionH>
                      <wp:positionV relativeFrom="paragraph">
                        <wp:posOffset>708025</wp:posOffset>
                      </wp:positionV>
                      <wp:extent cx="127000" cy="99695"/>
                      <wp:effectExtent l="12700" t="12700" r="12700" b="20955"/>
                      <wp:wrapNone/>
                      <wp:docPr id="27" name="圆角矩形 27"/>
                      <wp:cNvGraphicFramePr/>
                      <a:graphic xmlns:a="http://schemas.openxmlformats.org/drawingml/2006/main">
                        <a:graphicData uri="http://schemas.microsoft.com/office/word/2010/wordprocessingShape">
                          <wps:wsp>
                            <wps:cNvSpPr/>
                            <wps:spPr>
                              <a:xfrm>
                                <a:off x="3503930" y="5260340"/>
                                <a:ext cx="127000" cy="99695"/>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60pt;margin-top:55.75pt;height:7.85pt;width:10pt;z-index:251664384;v-text-anchor:middle;mso-width-relative:page;mso-height-relative:page;" fillcolor="#FFFFFF [3212]" filled="t" stroked="t" coordsize="21600,21600" arcsize="0.166666666666667" o:gfxdata="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ud2a1wAAAAsBAAAPAAAAAAAAAAEAIAAAACIAAABk&#10;cnMvZG93bnJldi54bWxQSwECFAAUAAAACACHTuJAQny+y3kCAAD0BAAADgAAAAAAAAABACAAAAAm&#10;AQAAZHJzL2Uyb0RvYy54bWxQSwUGAAAAAAYABgBZAQAAEQYAAAAA&#10;">
                      <v:fill on="t" focussize="0,0"/>
                      <v:stroke weight="2pt" color="#FFFFFF [3212]" joinstyle="round"/>
                      <v:imagedata o:title=""/>
                      <o:lock v:ext="edit" aspectratio="f"/>
                    </v:roundrect>
                  </w:pict>
                </mc:Fallback>
              </mc:AlternateContent>
            </w:r>
          </w:p>
        </w:tc>
        <w:tc>
          <w:tcPr>
            <w:tcW w:w="197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after="0"/>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鞋面材料：纺织品 +TPU+ 合成革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鞋底：橡胶大底 +PHYLON 中底 +TPU</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尺码范围：6.5-11（35-45）</w:t>
            </w:r>
            <w:r>
              <w:rPr>
                <w:rFonts w:hint="eastAsia" w:ascii="宋体" w:hAnsi="宋体" w:eastAsia="宋体" w:cs="宋体"/>
                <w:i w:val="0"/>
                <w:iCs w:val="0"/>
                <w:color w:val="auto"/>
                <w:kern w:val="0"/>
                <w:sz w:val="21"/>
                <w:szCs w:val="21"/>
                <w:highlight w:val="none"/>
                <w:u w:val="none"/>
                <w:lang w:val="en-US" w:eastAsia="zh-CN" w:bidi="ar"/>
              </w:rPr>
              <w:br w:type="textWrapping"/>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38</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双</w:t>
            </w:r>
          </w:p>
        </w:tc>
      </w:tr>
      <w:tr>
        <w:tblPrEx>
          <w:tblCellMar>
            <w:top w:w="0" w:type="dxa"/>
            <w:left w:w="108" w:type="dxa"/>
            <w:bottom w:w="0" w:type="dxa"/>
            <w:right w:w="108" w:type="dxa"/>
          </w:tblCellMar>
        </w:tblPrEx>
        <w:trPr>
          <w:trHeight w:val="1451" w:hRule="atLeast"/>
        </w:trPr>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4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羽毛球专业比赛鞋</w:t>
            </w:r>
          </w:p>
        </w:tc>
        <w:tc>
          <w:tcPr>
            <w:tcW w:w="48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标准白 </w:t>
            </w:r>
          </w:p>
        </w:tc>
        <w:tc>
          <w:tcPr>
            <w:tcW w:w="10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auto"/>
                <w:sz w:val="21"/>
                <w:szCs w:val="21"/>
                <w:highlight w:val="none"/>
                <w:u w:val="none"/>
              </w:rPr>
            </w:pPr>
            <w:r>
              <w:rPr>
                <w:color w:val="auto"/>
                <w:sz w:val="21"/>
                <w:highlight w:val="none"/>
              </w:rPr>
              <mc:AlternateContent>
                <mc:Choice Requires="wps">
                  <w:drawing>
                    <wp:anchor distT="0" distB="0" distL="114300" distR="114300" simplePos="0" relativeHeight="251665408" behindDoc="0" locked="0" layoutInCell="1" allowOverlap="1">
                      <wp:simplePos x="0" y="0"/>
                      <wp:positionH relativeFrom="column">
                        <wp:posOffset>850900</wp:posOffset>
                      </wp:positionH>
                      <wp:positionV relativeFrom="paragraph">
                        <wp:posOffset>344170</wp:posOffset>
                      </wp:positionV>
                      <wp:extent cx="127000" cy="99695"/>
                      <wp:effectExtent l="12700" t="12700" r="12700" b="20955"/>
                      <wp:wrapNone/>
                      <wp:docPr id="28" name="圆角矩形 28"/>
                      <wp:cNvGraphicFramePr/>
                      <a:graphic xmlns:a="http://schemas.openxmlformats.org/drawingml/2006/main">
                        <a:graphicData uri="http://schemas.microsoft.com/office/word/2010/wordprocessingShape">
                          <wps:wsp>
                            <wps:cNvSpPr/>
                            <wps:spPr>
                              <a:xfrm>
                                <a:off x="0" y="0"/>
                                <a:ext cx="127000" cy="99695"/>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67pt;margin-top:27.1pt;height:7.85pt;width:10pt;z-index:251665408;v-text-anchor:middle;mso-width-relative:page;mso-height-relative:page;" fillcolor="#FFFFFF [3212]" filled="t" stroked="t" coordsize="21600,21600" arcsize="0.166666666666667" o:gfxdata="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FVz+W/ZAAAACQEAAA8AAAAAAAAAAQAgAAAAIgAAAGRycy9kb3ducmV2&#10;LnhtbFBLAQIUABQAAAAIAIdO4kAWF2GqbQIAAOgEAAAOAAAAAAAAAAEAIAAAACgBAABkcnMvZTJv&#10;RG9jLnhtbFBLBQYAAAAABgAGAFkBAAAHBgAAAAA=&#10;">
                      <v:fill on="t" focussize="0,0"/>
                      <v:stroke weight="2pt" color="#FFFFFF [3212]" joinstyle="round"/>
                      <v:imagedata o:title=""/>
                      <o:lock v:ext="edit" aspectratio="f"/>
                    </v:roundrect>
                  </w:pict>
                </mc:Fallback>
              </mc:AlternateContent>
            </w:r>
          </w:p>
        </w:tc>
        <w:tc>
          <w:tcPr>
            <w:tcW w:w="197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after="0"/>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鞋面材料：纺织品 +TPU+ 合成革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鞋底：橡胶大底 +PHYLON 中底 +TPU</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尺码范围：5-8（35-39）</w:t>
            </w:r>
            <w:r>
              <w:rPr>
                <w:rFonts w:hint="eastAsia" w:ascii="宋体" w:hAnsi="宋体" w:eastAsia="宋体" w:cs="宋体"/>
                <w:i w:val="0"/>
                <w:iCs w:val="0"/>
                <w:color w:val="auto"/>
                <w:kern w:val="0"/>
                <w:sz w:val="21"/>
                <w:szCs w:val="21"/>
                <w:highlight w:val="none"/>
                <w:u w:val="none"/>
                <w:lang w:val="en-US" w:eastAsia="zh-CN" w:bidi="ar"/>
              </w:rPr>
              <w:br w:type="textWrapping"/>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33</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双</w:t>
            </w:r>
          </w:p>
        </w:tc>
      </w:tr>
      <w:tr>
        <w:tblPrEx>
          <w:tblCellMar>
            <w:top w:w="0" w:type="dxa"/>
            <w:left w:w="108" w:type="dxa"/>
            <w:bottom w:w="0" w:type="dxa"/>
            <w:right w:w="108" w:type="dxa"/>
          </w:tblCellMar>
        </w:tblPrEx>
        <w:trPr>
          <w:trHeight w:val="9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羽毛球鞋</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黑/红</w:t>
            </w:r>
          </w:p>
        </w:tc>
        <w:tc>
          <w:tcPr>
            <w:tcW w:w="1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auto"/>
                <w:sz w:val="21"/>
                <w:szCs w:val="21"/>
                <w:highlight w:val="none"/>
                <w:u w:val="none"/>
              </w:rPr>
            </w:pPr>
            <w:r>
              <w:rPr>
                <w:color w:val="auto"/>
                <w:sz w:val="21"/>
                <w:highlight w:val="none"/>
              </w:rPr>
              <mc:AlternateContent>
                <mc:Choice Requires="wps">
                  <w:drawing>
                    <wp:anchor distT="0" distB="0" distL="114300" distR="114300" simplePos="0" relativeHeight="251667456" behindDoc="0" locked="0" layoutInCell="1" allowOverlap="1">
                      <wp:simplePos x="0" y="0"/>
                      <wp:positionH relativeFrom="column">
                        <wp:posOffset>140970</wp:posOffset>
                      </wp:positionH>
                      <wp:positionV relativeFrom="paragraph">
                        <wp:posOffset>481965</wp:posOffset>
                      </wp:positionV>
                      <wp:extent cx="179070" cy="75565"/>
                      <wp:effectExtent l="12700" t="12700" r="17780" b="26035"/>
                      <wp:wrapNone/>
                      <wp:docPr id="31" name="矩形 31"/>
                      <wp:cNvGraphicFramePr/>
                      <a:graphic xmlns:a="http://schemas.openxmlformats.org/drawingml/2006/main">
                        <a:graphicData uri="http://schemas.microsoft.com/office/word/2010/wordprocessingShape">
                          <wps:wsp>
                            <wps:cNvSpPr/>
                            <wps:spPr>
                              <a:xfrm>
                                <a:off x="0" y="0"/>
                                <a:ext cx="179070" cy="7556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1pt;margin-top:37.95pt;height:5.95pt;width:14.1pt;z-index:251667456;v-text-anchor:middle;mso-width-relative:page;mso-height-relative:page;" fillcolor="#FFFFFF [3212]" filled="t" stroked="t" coordsize="21600,21600" o:gfxdata="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EqC&#10;K/vYAAAABwEAAA8AAAAAAAAAAQAgAAAAIgAAAGRycy9kb3ducmV2LnhtbFBLAQIUABQAAAAIAIdO&#10;4kAXVBQQXAIAAN0EAAAOAAAAAAAAAAEAIAAAACcBAABkcnMvZTJvRG9jLnhtbFBLBQYAAAAABgAG&#10;AFkBAAD1BQAAAAA=&#10;">
                      <v:fill on="t" focussize="0,0"/>
                      <v:stroke weight="2pt" color="#FFFFFF [3212]" joinstyle="round"/>
                      <v:imagedata o:title=""/>
                      <o:lock v:ext="edit" aspectratio="f"/>
                    </v:rect>
                  </w:pict>
                </mc:Fallback>
              </mc:AlternateContent>
            </w:r>
            <w:r>
              <w:rPr>
                <w:color w:val="auto"/>
                <w:sz w:val="21"/>
                <w:highlight w:val="none"/>
              </w:rPr>
              <mc:AlternateContent>
                <mc:Choice Requires="wps">
                  <w:drawing>
                    <wp:anchor distT="0" distB="0" distL="114300" distR="114300" simplePos="0" relativeHeight="251666432" behindDoc="0" locked="0" layoutInCell="1" allowOverlap="1">
                      <wp:simplePos x="0" y="0"/>
                      <wp:positionH relativeFrom="column">
                        <wp:posOffset>650875</wp:posOffset>
                      </wp:positionH>
                      <wp:positionV relativeFrom="paragraph">
                        <wp:posOffset>758190</wp:posOffset>
                      </wp:positionV>
                      <wp:extent cx="179070" cy="75565"/>
                      <wp:effectExtent l="12700" t="12700" r="17780" b="26035"/>
                      <wp:wrapNone/>
                      <wp:docPr id="29" name="矩形 29"/>
                      <wp:cNvGraphicFramePr/>
                      <a:graphic xmlns:a="http://schemas.openxmlformats.org/drawingml/2006/main">
                        <a:graphicData uri="http://schemas.microsoft.com/office/word/2010/wordprocessingShape">
                          <wps:wsp>
                            <wps:cNvSpPr/>
                            <wps:spPr>
                              <a:xfrm>
                                <a:off x="3388360" y="1683385"/>
                                <a:ext cx="179070" cy="7556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1.25pt;margin-top:59.7pt;height:5.95pt;width:14.1pt;z-index:251666432;v-text-anchor:middle;mso-width-relative:page;mso-height-relative:page;" fillcolor="#FFFFFF [3212]" filled="t" stroked="t" coordsize="21600,21600" o:gfxdata="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MlfgF7ZAAAACwEAAA8AAAAAAAAAAQAgAAAAIgAAAGRycy9kb3ducmV2Lnht&#10;bFBLAQIUABQAAAAIAIdO4kAG9KE2agIAAOkEAAAOAAAAAAAAAAEAIAAAACgBAABkcnMvZTJvRG9j&#10;LnhtbFBLBQYAAAAABgAGAFkBAAAEBgAAAAA=&#10;">
                      <v:fill on="t" focussize="0,0"/>
                      <v:stroke weight="2pt" color="#FFFFFF [3212]" joinstyle="round"/>
                      <v:imagedata o:title=""/>
                      <o:lock v:ext="edit" aspectratio="f"/>
                    </v:rect>
                  </w:pict>
                </mc:Fallback>
              </mc:AlternateContent>
            </w:r>
          </w:p>
        </w:tc>
        <w:tc>
          <w:tcPr>
            <w:tcW w:w="197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after="0"/>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尺寸：40-45码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素材/组成：橡塑材料/织物/合成革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显著提升稳定性和抓地力，促进高速步伐。</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双</w:t>
            </w:r>
          </w:p>
        </w:tc>
      </w:tr>
      <w:tr>
        <w:tblPrEx>
          <w:tblCellMar>
            <w:top w:w="0" w:type="dxa"/>
            <w:left w:w="108" w:type="dxa"/>
            <w:bottom w:w="0" w:type="dxa"/>
            <w:right w:w="108" w:type="dxa"/>
          </w:tblCellMar>
        </w:tblPrEx>
        <w:trPr>
          <w:trHeight w:val="126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羽毛球鞋</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浅蓝</w:t>
            </w:r>
          </w:p>
        </w:tc>
        <w:tc>
          <w:tcPr>
            <w:tcW w:w="1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auto"/>
                <w:sz w:val="21"/>
                <w:szCs w:val="21"/>
                <w:highlight w:val="none"/>
                <w:u w:val="none"/>
              </w:rPr>
            </w:pPr>
            <w:r>
              <w:rPr>
                <w:color w:val="auto"/>
                <w:sz w:val="21"/>
                <w:highlight w:val="none"/>
              </w:rPr>
              <mc:AlternateContent>
                <mc:Choice Requires="wps">
                  <w:drawing>
                    <wp:anchor distT="0" distB="0" distL="114300" distR="114300" simplePos="0" relativeHeight="251668480" behindDoc="0" locked="0" layoutInCell="1" allowOverlap="1">
                      <wp:simplePos x="0" y="0"/>
                      <wp:positionH relativeFrom="column">
                        <wp:posOffset>140335</wp:posOffset>
                      </wp:positionH>
                      <wp:positionV relativeFrom="paragraph">
                        <wp:posOffset>501650</wp:posOffset>
                      </wp:positionV>
                      <wp:extent cx="179070" cy="76200"/>
                      <wp:effectExtent l="12700" t="12700" r="17780" b="25400"/>
                      <wp:wrapNone/>
                      <wp:docPr id="32" name="矩形 32"/>
                      <wp:cNvGraphicFramePr/>
                      <a:graphic xmlns:a="http://schemas.openxmlformats.org/drawingml/2006/main">
                        <a:graphicData uri="http://schemas.microsoft.com/office/word/2010/wordprocessingShape">
                          <wps:wsp>
                            <wps:cNvSpPr/>
                            <wps:spPr>
                              <a:xfrm>
                                <a:off x="0" y="0"/>
                                <a:ext cx="179070" cy="762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05pt;margin-top:39.5pt;height:6pt;width:14.1pt;z-index:251668480;v-text-anchor:middle;mso-width-relative:page;mso-height-relative:page;" fillcolor="#FFFFFF [3212]" filled="t" stroked="t" coordsize="21600,21600" o:gfxdata="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HuD&#10;ub/YAAAABwEAAA8AAAAAAAAAAQAgAAAAIgAAAGRycy9kb3ducmV2LnhtbFBLAQIUABQAAAAIAIdO&#10;4kCnWrumXAIAAN0EAAAOAAAAAAAAAAEAIAAAACcBAABkcnMvZTJvRG9jLnhtbFBLBQYAAAAABgAG&#10;AFkBAAD1BQAAAAA=&#10;">
                      <v:fill on="t" focussize="0,0"/>
                      <v:stroke weight="2pt" color="#FFFFFF [3212]" joinstyle="round"/>
                      <v:imagedata o:title=""/>
                      <o:lock v:ext="edit" aspectratio="f"/>
                    </v:rect>
                  </w:pict>
                </mc:Fallback>
              </mc:AlternateContent>
            </w:r>
          </w:p>
        </w:tc>
        <w:tc>
          <w:tcPr>
            <w:tcW w:w="197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after="0"/>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 xml:space="preserve">尺寸：36-40.5码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素材/组成：橡塑材料/织物/合成革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显著提升稳定性和抓地力，促进高速步伐。</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双</w:t>
            </w:r>
          </w:p>
        </w:tc>
      </w:tr>
      <w:tr>
        <w:tblPrEx>
          <w:tblCellMar>
            <w:top w:w="0" w:type="dxa"/>
            <w:left w:w="108" w:type="dxa"/>
            <w:bottom w:w="0" w:type="dxa"/>
            <w:right w:w="108" w:type="dxa"/>
          </w:tblCellMar>
        </w:tblPrEx>
        <w:trPr>
          <w:trHeight w:val="172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羽毛球鞋</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莹白</w:t>
            </w:r>
          </w:p>
        </w:tc>
        <w:tc>
          <w:tcPr>
            <w:tcW w:w="1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auto"/>
                <w:sz w:val="21"/>
                <w:szCs w:val="21"/>
                <w:highlight w:val="none"/>
                <w:u w:val="none"/>
              </w:rPr>
            </w:pPr>
            <w:r>
              <w:rPr>
                <w:color w:val="auto"/>
                <w:sz w:val="21"/>
                <w:highlight w:val="none"/>
              </w:rPr>
              <mc:AlternateContent>
                <mc:Choice Requires="wps">
                  <w:drawing>
                    <wp:anchor distT="0" distB="0" distL="114300" distR="114300" simplePos="0" relativeHeight="251663360" behindDoc="0" locked="0" layoutInCell="1" allowOverlap="1">
                      <wp:simplePos x="0" y="0"/>
                      <wp:positionH relativeFrom="column">
                        <wp:posOffset>-36830</wp:posOffset>
                      </wp:positionH>
                      <wp:positionV relativeFrom="paragraph">
                        <wp:posOffset>355600</wp:posOffset>
                      </wp:positionV>
                      <wp:extent cx="270510" cy="137160"/>
                      <wp:effectExtent l="12700" t="12700" r="21590" b="21590"/>
                      <wp:wrapNone/>
                      <wp:docPr id="25" name="矩形 25"/>
                      <wp:cNvGraphicFramePr/>
                      <a:graphic xmlns:a="http://schemas.openxmlformats.org/drawingml/2006/main">
                        <a:graphicData uri="http://schemas.microsoft.com/office/word/2010/wordprocessingShape">
                          <wps:wsp>
                            <wps:cNvSpPr/>
                            <wps:spPr>
                              <a:xfrm>
                                <a:off x="2705100" y="3359785"/>
                                <a:ext cx="270510" cy="1371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pt;margin-top:28pt;height:10.8pt;width:21.3pt;z-index:251663360;v-text-anchor:middle;mso-width-relative:page;mso-height-relative:page;" fillcolor="#FFFFFF [3212]" filled="t" stroked="t" coordsize="21600,21600" o:gfxdata="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6kMuW9cAAAAHAQAADwAAAAAAAAABACAAAAAiAAAAZHJzL2Rvd25yZXYueG1sUEsB&#10;AhQAFAAAAAgAh07iQMgd3kdoAgAA6gQAAA4AAAAAAAAAAQAgAAAAJgEAAGRycy9lMm9Eb2MueG1s&#10;UEsFBgAAAAAGAAYAWQEAAAAGAAAAAA==&#10;">
                      <v:fill on="t" focussize="0,0"/>
                      <v:stroke weight="2pt" color="#FFFFFF [3212]" joinstyle="round"/>
                      <v:imagedata o:title=""/>
                      <o:lock v:ext="edit" aspectratio="f"/>
                    </v:rect>
                  </w:pict>
                </mc:Fallback>
              </mc:AlternateContent>
            </w:r>
          </w:p>
        </w:tc>
        <w:tc>
          <w:tcPr>
            <w:tcW w:w="197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after="0"/>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鞋面：PU合成革+TPU薄膜+双层透气网布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中底：弹性EVA+ENERGYMAX3.0能量垫+Solid EVA+尼龙稳定片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大底：VSR橡胶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尺寸：35-46</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融合传统书法文化设计，鞋面轻薄舒适提升</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双</w:t>
            </w:r>
          </w:p>
        </w:tc>
      </w:tr>
      <w:tr>
        <w:tblPrEx>
          <w:tblCellMar>
            <w:top w:w="0" w:type="dxa"/>
            <w:left w:w="108" w:type="dxa"/>
            <w:bottom w:w="0" w:type="dxa"/>
            <w:right w:w="108" w:type="dxa"/>
          </w:tblCellMar>
        </w:tblPrEx>
        <w:trPr>
          <w:trHeight w:val="172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羽毛球鞋</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朱砂红</w:t>
            </w:r>
          </w:p>
        </w:tc>
        <w:tc>
          <w:tcPr>
            <w:tcW w:w="1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auto"/>
                <w:sz w:val="21"/>
                <w:szCs w:val="21"/>
                <w:highlight w:val="none"/>
                <w:u w:val="none"/>
              </w:rPr>
            </w:pPr>
          </w:p>
        </w:tc>
        <w:tc>
          <w:tcPr>
            <w:tcW w:w="197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after="0"/>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鞋面：PU合成革+TPU薄膜+双层透气网布</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中底：弹性EVA+ENERGYMAX3.0能量垫+Solid EVA+尼龙稳定片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大底：VSR橡胶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尺寸：35-46</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融合传统书法文化设计，鞋面轻薄舒适提升</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双</w:t>
            </w:r>
          </w:p>
        </w:tc>
      </w:tr>
      <w:tr>
        <w:tblPrEx>
          <w:tblCellMar>
            <w:top w:w="0" w:type="dxa"/>
            <w:left w:w="108" w:type="dxa"/>
            <w:bottom w:w="0" w:type="dxa"/>
            <w:right w:w="108" w:type="dxa"/>
          </w:tblCellMar>
        </w:tblPrEx>
        <w:trPr>
          <w:trHeight w:val="21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体能训练绳</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黑色</w:t>
            </w:r>
          </w:p>
        </w:tc>
        <w:tc>
          <w:tcPr>
            <w:tcW w:w="1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auto"/>
                <w:sz w:val="21"/>
                <w:szCs w:val="21"/>
                <w:highlight w:val="none"/>
                <w:u w:val="none"/>
              </w:rPr>
            </w:pPr>
            <w:r>
              <w:rPr>
                <w:color w:val="auto"/>
                <w:sz w:val="21"/>
                <w:highlight w:val="none"/>
              </w:rPr>
              <mc:AlternateContent>
                <mc:Choice Requires="wps">
                  <w:drawing>
                    <wp:anchor distT="0" distB="0" distL="114300" distR="114300" simplePos="0" relativeHeight="251660288" behindDoc="0" locked="0" layoutInCell="1" allowOverlap="1">
                      <wp:simplePos x="0" y="0"/>
                      <wp:positionH relativeFrom="column">
                        <wp:posOffset>-50800</wp:posOffset>
                      </wp:positionH>
                      <wp:positionV relativeFrom="paragraph">
                        <wp:posOffset>38735</wp:posOffset>
                      </wp:positionV>
                      <wp:extent cx="537845" cy="235585"/>
                      <wp:effectExtent l="12700" t="12700" r="20955" b="18415"/>
                      <wp:wrapNone/>
                      <wp:docPr id="22" name="矩形 22"/>
                      <wp:cNvGraphicFramePr/>
                      <a:graphic xmlns:a="http://schemas.openxmlformats.org/drawingml/2006/main">
                        <a:graphicData uri="http://schemas.microsoft.com/office/word/2010/wordprocessingShape">
                          <wps:wsp>
                            <wps:cNvSpPr/>
                            <wps:spPr>
                              <a:xfrm>
                                <a:off x="2691130" y="5476875"/>
                                <a:ext cx="537845" cy="23558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pt;margin-top:3.05pt;height:18.55pt;width:42.35pt;z-index:251660288;v-text-anchor:middle;mso-width-relative:page;mso-height-relative:page;" fillcolor="#FFFFFF [3212]" filled="t" stroked="t" coordsize="21600,21600" o:gfxdata="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M1JJcXYAAAABgEAAA8AAAAAAAAAAQAgAAAAIgAAAGRycy9kb3ducmV2&#10;LnhtbFBLAQIUABQAAAAIAIdO4kC8ZSvabgIAAOoEAAAOAAAAAAAAAAEAIAAAACcBAABkcnMvZTJv&#10;RG9jLnhtbFBLBQYAAAAABgAGAFkBAAAHBgAAAAA=&#10;">
                      <v:fill on="t" focussize="0,0"/>
                      <v:stroke weight="2pt" color="#FFFFFF [3212]" joinstyle="round"/>
                      <v:imagedata o:title=""/>
                      <o:lock v:ext="edit" aspectratio="f"/>
                    </v:rect>
                  </w:pict>
                </mc:Fallback>
              </mc:AlternateContent>
            </w: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-5080</wp:posOffset>
                  </wp:positionH>
                  <wp:positionV relativeFrom="paragraph">
                    <wp:posOffset>81915</wp:posOffset>
                  </wp:positionV>
                  <wp:extent cx="1036955" cy="1090295"/>
                  <wp:effectExtent l="0" t="0" r="10795" b="14605"/>
                  <wp:wrapSquare wrapText="bothSides"/>
                  <wp:docPr id="21" name="图片_12"/>
                  <wp:cNvGraphicFramePr/>
                  <a:graphic xmlns:a="http://schemas.openxmlformats.org/drawingml/2006/main">
                    <a:graphicData uri="http://schemas.openxmlformats.org/drawingml/2006/picture">
                      <pic:pic xmlns:pic="http://schemas.openxmlformats.org/drawingml/2006/picture">
                        <pic:nvPicPr>
                          <pic:cNvPr id="21" name="图片_12"/>
                          <pic:cNvPicPr/>
                        </pic:nvPicPr>
                        <pic:blipFill>
                          <a:blip r:embed="rId15"/>
                          <a:stretch>
                            <a:fillRect/>
                          </a:stretch>
                        </pic:blipFill>
                        <pic:spPr>
                          <a:xfrm>
                            <a:off x="0" y="0"/>
                            <a:ext cx="1036955" cy="1090295"/>
                          </a:xfrm>
                          <a:prstGeom prst="rect">
                            <a:avLst/>
                          </a:prstGeom>
                          <a:noFill/>
                          <a:ln>
                            <a:noFill/>
                          </a:ln>
                        </pic:spPr>
                      </pic:pic>
                    </a:graphicData>
                  </a:graphic>
                </wp:anchor>
              </w:drawing>
            </w:r>
          </w:p>
        </w:tc>
        <w:tc>
          <w:tcPr>
            <w:tcW w:w="197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after="0"/>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材质：高强度涤纶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直径：38mm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长度：9m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重量：7.5kg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高强度耐磨涤纶，均匀扎实，使用起来得心应手，经久耐用，使用寿命长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热缩管塑封手柄，防止松落，舒适手感，耐磨软质呵护双手</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根</w:t>
            </w:r>
          </w:p>
        </w:tc>
      </w:tr>
      <w:tr>
        <w:tblPrEx>
          <w:tblCellMar>
            <w:top w:w="0" w:type="dxa"/>
            <w:left w:w="108" w:type="dxa"/>
            <w:bottom w:w="0" w:type="dxa"/>
            <w:right w:w="108" w:type="dxa"/>
          </w:tblCellMar>
        </w:tblPrEx>
        <w:trPr>
          <w:trHeight w:val="21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体能训练绳</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黑色</w:t>
            </w:r>
          </w:p>
        </w:tc>
        <w:tc>
          <w:tcPr>
            <w:tcW w:w="1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auto"/>
                <w:sz w:val="21"/>
                <w:szCs w:val="21"/>
                <w:highlight w:val="none"/>
                <w:u w:val="none"/>
              </w:rPr>
            </w:pPr>
            <w:r>
              <w:rPr>
                <w:color w:val="auto"/>
                <w:sz w:val="21"/>
                <w:highlight w:val="none"/>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144780</wp:posOffset>
                      </wp:positionV>
                      <wp:extent cx="465455" cy="179705"/>
                      <wp:effectExtent l="12700" t="12700" r="17145" b="17145"/>
                      <wp:wrapNone/>
                      <wp:docPr id="23" name="矩形 23"/>
                      <wp:cNvGraphicFramePr/>
                      <a:graphic xmlns:a="http://schemas.openxmlformats.org/drawingml/2006/main">
                        <a:graphicData uri="http://schemas.microsoft.com/office/word/2010/wordprocessingShape">
                          <wps:wsp>
                            <wps:cNvSpPr/>
                            <wps:spPr>
                              <a:xfrm>
                                <a:off x="2741295" y="6972935"/>
                                <a:ext cx="465455" cy="17970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0.05pt;margin-top:11.4pt;height:14.15pt;width:36.65pt;z-index:251661312;v-text-anchor:middle;mso-width-relative:page;mso-height-relative:page;" fillcolor="#FFFFFF [3212]" filled="t" stroked="t" coordsize="21600,21600" o:gfxdata="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BqsETvWAAAABgEAAA8AAAAAAAAAAQAgAAAAIgAAAGRycy9kb3ducmV2Lnht&#10;bFBLAQIUABQAAAAIAIdO4kBaeOjBbQIAAOoEAAAOAAAAAAAAAAEAIAAAACUBAABkcnMvZTJvRG9j&#10;LnhtbFBLBQYAAAAABgAGAFkBAAAEBgAAAAA=&#10;">
                      <v:fill on="t" focussize="0,0"/>
                      <v:stroke weight="2pt" color="#FFFFFF [3212]" joinstyle="round"/>
                      <v:imagedata o:title=""/>
                      <o:lock v:ext="edit" aspectratio="f"/>
                    </v:rect>
                  </w:pict>
                </mc:Fallback>
              </mc:AlternateContent>
            </w: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26035</wp:posOffset>
                  </wp:positionH>
                  <wp:positionV relativeFrom="paragraph">
                    <wp:posOffset>154305</wp:posOffset>
                  </wp:positionV>
                  <wp:extent cx="995045" cy="1005840"/>
                  <wp:effectExtent l="0" t="0" r="14605" b="3810"/>
                  <wp:wrapSquare wrapText="bothSides"/>
                  <wp:docPr id="19" name="图片_13"/>
                  <wp:cNvGraphicFramePr/>
                  <a:graphic xmlns:a="http://schemas.openxmlformats.org/drawingml/2006/main">
                    <a:graphicData uri="http://schemas.openxmlformats.org/drawingml/2006/picture">
                      <pic:pic xmlns:pic="http://schemas.openxmlformats.org/drawingml/2006/picture">
                        <pic:nvPicPr>
                          <pic:cNvPr id="19" name="图片_13"/>
                          <pic:cNvPicPr/>
                        </pic:nvPicPr>
                        <pic:blipFill>
                          <a:blip r:embed="rId16"/>
                          <a:stretch>
                            <a:fillRect/>
                          </a:stretch>
                        </pic:blipFill>
                        <pic:spPr>
                          <a:xfrm>
                            <a:off x="0" y="0"/>
                            <a:ext cx="995045" cy="1005840"/>
                          </a:xfrm>
                          <a:prstGeom prst="rect">
                            <a:avLst/>
                          </a:prstGeom>
                          <a:noFill/>
                          <a:ln>
                            <a:noFill/>
                          </a:ln>
                        </pic:spPr>
                      </pic:pic>
                    </a:graphicData>
                  </a:graphic>
                </wp:anchor>
              </w:drawing>
            </w:r>
          </w:p>
        </w:tc>
        <w:tc>
          <w:tcPr>
            <w:tcW w:w="197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after="0"/>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材质：高强度涤纶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直径：38mm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长度：12m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重量：9.8kg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高强度耐磨涤纶，均匀扎实，使用起来得心应手，经久耐用，使用寿命长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热缩管塑封手柄，防止松落，舒适手感，耐磨软质呵护双手</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根</w:t>
            </w:r>
          </w:p>
        </w:tc>
      </w:tr>
      <w:tr>
        <w:tblPrEx>
          <w:tblCellMar>
            <w:top w:w="0" w:type="dxa"/>
            <w:left w:w="108" w:type="dxa"/>
            <w:bottom w:w="0" w:type="dxa"/>
            <w:right w:w="108" w:type="dxa"/>
          </w:tblCellMar>
        </w:tblPrEx>
        <w:trPr>
          <w:trHeight w:val="21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体能训练绳</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黑色</w:t>
            </w:r>
          </w:p>
        </w:tc>
        <w:tc>
          <w:tcPr>
            <w:tcW w:w="1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auto"/>
                <w:sz w:val="21"/>
                <w:szCs w:val="21"/>
                <w:highlight w:val="none"/>
                <w:u w:val="none"/>
              </w:rPr>
            </w:pPr>
            <w:r>
              <w:rPr>
                <w:color w:val="auto"/>
                <w:sz w:val="21"/>
                <w:highlight w:val="none"/>
              </w:rP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129540</wp:posOffset>
                      </wp:positionV>
                      <wp:extent cx="465455" cy="207645"/>
                      <wp:effectExtent l="12700" t="12700" r="17145" b="27305"/>
                      <wp:wrapNone/>
                      <wp:docPr id="24" name="矩形 24"/>
                      <wp:cNvGraphicFramePr/>
                      <a:graphic xmlns:a="http://schemas.openxmlformats.org/drawingml/2006/main">
                        <a:graphicData uri="http://schemas.microsoft.com/office/word/2010/wordprocessingShape">
                          <wps:wsp>
                            <wps:cNvSpPr/>
                            <wps:spPr>
                              <a:xfrm>
                                <a:off x="2741295" y="8347710"/>
                                <a:ext cx="465455" cy="20764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0.05pt;margin-top:10.2pt;height:16.35pt;width:36.65pt;z-index:251662336;v-text-anchor:middle;mso-width-relative:page;mso-height-relative:page;" fillcolor="#FFFFFF [3212]" filled="t" stroked="t" coordsize="21600,21600" o:gfxdata="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ah5BC1wAAAAYBAAAPAAAAAAAAAAEAIAAAACIAAABkcnMvZG93bnJldi54bWxQ&#10;SwECFAAUAAAACACHTuJAdchlsWoCAADqBAAADgAAAAAAAAABACAAAAAmAQAAZHJzL2Uyb0RvYy54&#10;bWxQSwUGAAAAAAYABgBZAQAAAgYAAAAA&#10;">
                      <v:fill on="t" focussize="0,0"/>
                      <v:stroke weight="2pt" color="#FFFFFF [3212]" joinstyle="round"/>
                      <v:imagedata o:title=""/>
                      <o:lock v:ext="edit" aspectratio="f"/>
                    </v:rect>
                  </w:pict>
                </mc:Fallback>
              </mc:AlternateContent>
            </w: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13970</wp:posOffset>
                  </wp:positionH>
                  <wp:positionV relativeFrom="paragraph">
                    <wp:posOffset>161925</wp:posOffset>
                  </wp:positionV>
                  <wp:extent cx="1016000" cy="1016635"/>
                  <wp:effectExtent l="0" t="0" r="12700" b="12065"/>
                  <wp:wrapSquare wrapText="bothSides"/>
                  <wp:docPr id="18" name="图片_14"/>
                  <wp:cNvGraphicFramePr/>
                  <a:graphic xmlns:a="http://schemas.openxmlformats.org/drawingml/2006/main">
                    <a:graphicData uri="http://schemas.openxmlformats.org/drawingml/2006/picture">
                      <pic:pic xmlns:pic="http://schemas.openxmlformats.org/drawingml/2006/picture">
                        <pic:nvPicPr>
                          <pic:cNvPr id="18" name="图片_14"/>
                          <pic:cNvPicPr/>
                        </pic:nvPicPr>
                        <pic:blipFill>
                          <a:blip r:embed="rId15"/>
                          <a:stretch>
                            <a:fillRect/>
                          </a:stretch>
                        </pic:blipFill>
                        <pic:spPr>
                          <a:xfrm>
                            <a:off x="0" y="0"/>
                            <a:ext cx="1016000" cy="1016635"/>
                          </a:xfrm>
                          <a:prstGeom prst="rect">
                            <a:avLst/>
                          </a:prstGeom>
                          <a:noFill/>
                          <a:ln>
                            <a:noFill/>
                          </a:ln>
                        </pic:spPr>
                      </pic:pic>
                    </a:graphicData>
                  </a:graphic>
                </wp:anchor>
              </w:drawing>
            </w:r>
          </w:p>
        </w:tc>
        <w:tc>
          <w:tcPr>
            <w:tcW w:w="197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after="0"/>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材质：高强度涤纶</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直径：50mm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长度：9m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重量：12.6kg</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高强度耐磨涤纶，均匀扎实，使用起来得心应手，经久耐用，使用寿命长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热缩管塑封手柄，防止松落，舒适手感，耐磨软质呵护双手</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根</w:t>
            </w:r>
          </w:p>
        </w:tc>
      </w:tr>
      <w:tr>
        <w:tblPrEx>
          <w:tblCellMar>
            <w:top w:w="0" w:type="dxa"/>
            <w:left w:w="108" w:type="dxa"/>
            <w:bottom w:w="0" w:type="dxa"/>
            <w:right w:w="108" w:type="dxa"/>
          </w:tblCellMar>
        </w:tblPrEx>
        <w:trPr>
          <w:trHeight w:val="130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羽毛球网</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jc w:val="center"/>
              <w:rPr>
                <w:rFonts w:hint="eastAsia" w:ascii="宋体" w:hAnsi="宋体" w:eastAsia="宋体" w:cs="宋体"/>
                <w:i w:val="0"/>
                <w:iCs w:val="0"/>
                <w:color w:val="auto"/>
                <w:sz w:val="21"/>
                <w:szCs w:val="21"/>
                <w:highlight w:val="none"/>
                <w:u w:val="none"/>
              </w:rPr>
            </w:pPr>
          </w:p>
        </w:tc>
        <w:tc>
          <w:tcPr>
            <w:tcW w:w="1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jc w:val="center"/>
              <w:textAlignment w:val="center"/>
              <w:rPr>
                <w:rFonts w:hint="eastAsia" w:ascii="宋体" w:hAnsi="宋体" w:eastAsia="宋体" w:cs="宋体"/>
                <w:i w:val="0"/>
                <w:iCs w:val="0"/>
                <w:color w:val="auto"/>
                <w:sz w:val="21"/>
                <w:szCs w:val="21"/>
                <w:highlight w:val="none"/>
                <w:u w:val="none"/>
              </w:rPr>
            </w:pPr>
            <w:r>
              <w:rPr>
                <w:color w:val="auto"/>
                <w:sz w:val="21"/>
                <w:highlight w:val="none"/>
              </w:rPr>
              <mc:AlternateContent>
                <mc:Choice Requires="wps">
                  <w:drawing>
                    <wp:anchor distT="0" distB="0" distL="114300" distR="114300" simplePos="0" relativeHeight="251669504" behindDoc="0" locked="0" layoutInCell="1" allowOverlap="1">
                      <wp:simplePos x="0" y="0"/>
                      <wp:positionH relativeFrom="column">
                        <wp:posOffset>235585</wp:posOffset>
                      </wp:positionH>
                      <wp:positionV relativeFrom="paragraph">
                        <wp:posOffset>865505</wp:posOffset>
                      </wp:positionV>
                      <wp:extent cx="481330" cy="90170"/>
                      <wp:effectExtent l="12700" t="12700" r="20320" b="30480"/>
                      <wp:wrapNone/>
                      <wp:docPr id="33" name="圆角矩形 33"/>
                      <wp:cNvGraphicFramePr/>
                      <a:graphic xmlns:a="http://schemas.openxmlformats.org/drawingml/2006/main">
                        <a:graphicData uri="http://schemas.microsoft.com/office/word/2010/wordprocessingShape">
                          <wps:wsp>
                            <wps:cNvSpPr/>
                            <wps:spPr>
                              <a:xfrm>
                                <a:off x="2977515" y="1786255"/>
                                <a:ext cx="481330" cy="90170"/>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8.55pt;margin-top:68.15pt;height:7.1pt;width:37.9pt;z-index:251669504;v-text-anchor:middle;mso-width-relative:page;mso-height-relative:page;" fillcolor="#FFFFFF [3212]" filled="t" stroked="t" coordsize="21600,21600" arcsize="0.166666666666667" o:gfxdata="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C9b3njaAAAACgEAAA8AAAAAAAAAAQAg&#10;AAAAIgAAAGRycy9kb3ducmV2LnhtbFBLAQIUABQAAAAIAIdO4kA0ADAefgIAAPQEAAAOAAAAAAAA&#10;AAEAIAAAACkBAABkcnMvZTJvRG9jLnhtbFBLBQYAAAAABgAGAFkBAAAZBgAAAAA=&#10;">
                      <v:fill on="t" focussize="0,0"/>
                      <v:stroke weight="2pt" color="#FFFFFF [3212]" joinstyle="round"/>
                      <v:imagedata o:title=""/>
                      <o:lock v:ext="edit" aspectratio="f"/>
                    </v:roundrect>
                  </w:pict>
                </mc:Fallback>
              </mc:AlternateContent>
            </w:r>
            <w:r>
              <w:rPr>
                <w:rFonts w:hint="eastAsia" w:ascii="宋体" w:hAnsi="宋体" w:eastAsia="宋体" w:cs="宋体"/>
                <w:i w:val="0"/>
                <w:iCs w:val="0"/>
                <w:color w:val="auto"/>
                <w:kern w:val="0"/>
                <w:sz w:val="21"/>
                <w:szCs w:val="21"/>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45085</wp:posOffset>
                  </wp:positionH>
                  <wp:positionV relativeFrom="paragraph">
                    <wp:posOffset>80645</wp:posOffset>
                  </wp:positionV>
                  <wp:extent cx="895350" cy="885825"/>
                  <wp:effectExtent l="0" t="0" r="0" b="9525"/>
                  <wp:wrapSquare wrapText="bothSides"/>
                  <wp:docPr id="15" name="图片_11"/>
                  <wp:cNvGraphicFramePr/>
                  <a:graphic xmlns:a="http://schemas.openxmlformats.org/drawingml/2006/main">
                    <a:graphicData uri="http://schemas.openxmlformats.org/drawingml/2006/picture">
                      <pic:pic xmlns:pic="http://schemas.openxmlformats.org/drawingml/2006/picture">
                        <pic:nvPicPr>
                          <pic:cNvPr id="15" name="图片_11"/>
                          <pic:cNvPicPr/>
                        </pic:nvPicPr>
                        <pic:blipFill>
                          <a:blip r:embed="rId17"/>
                          <a:stretch>
                            <a:fillRect/>
                          </a:stretch>
                        </pic:blipFill>
                        <pic:spPr>
                          <a:xfrm>
                            <a:off x="0" y="0"/>
                            <a:ext cx="895350" cy="885825"/>
                          </a:xfrm>
                          <a:prstGeom prst="rect">
                            <a:avLst/>
                          </a:prstGeom>
                          <a:noFill/>
                          <a:ln>
                            <a:noFill/>
                          </a:ln>
                        </pic:spPr>
                      </pic:pic>
                    </a:graphicData>
                  </a:graphic>
                </wp:anchor>
              </w:drawing>
            </w:r>
          </w:p>
        </w:tc>
        <w:tc>
          <w:tcPr>
            <w:tcW w:w="197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after="0"/>
              <w:jc w:val="left"/>
              <w:textAlignment w:val="top"/>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材 料：NYLON  24PLY</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规 格：604cmX76cm 重 0.75kg</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副</w:t>
            </w:r>
          </w:p>
        </w:tc>
      </w:tr>
    </w:tbl>
    <w:p>
      <w:pPr>
        <w:widowControl w:val="0"/>
        <w:adjustRightInd/>
        <w:snapToGrid/>
        <w:spacing w:after="0" w:line="240" w:lineRule="auto"/>
        <w:jc w:val="both"/>
        <w:rPr>
          <w:rFonts w:hint="eastAsia" w:ascii="Times New Roman" w:hAnsi="Times New Roman" w:eastAsia="宋体" w:cs="Times New Roman"/>
          <w:b/>
          <w:color w:val="auto"/>
          <w:kern w:val="2"/>
          <w:sz w:val="21"/>
          <w:szCs w:val="24"/>
          <w:highlight w:val="none"/>
        </w:rPr>
      </w:pPr>
    </w:p>
    <w:p>
      <w:pPr>
        <w:pStyle w:val="26"/>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240" w:lineRule="auto"/>
        <w:ind w:leftChars="0"/>
        <w:textAlignment w:val="auto"/>
        <w:outlineLvl w:val="9"/>
        <w:rPr>
          <w:rFonts w:hint="eastAsia"/>
          <w:color w:val="auto"/>
          <w:highlight w:val="none"/>
        </w:rPr>
      </w:pPr>
      <w:r>
        <w:rPr>
          <w:rFonts w:hint="eastAsia" w:ascii="宋体" w:hAnsi="宋体" w:eastAsia="宋体"/>
          <w:b/>
          <w:color w:val="auto"/>
          <w:sz w:val="22"/>
          <w:szCs w:val="21"/>
          <w:highlight w:val="none"/>
          <w:lang w:val="en-US" w:eastAsia="zh-CN"/>
        </w:rPr>
        <w:t>2、器材尺码数量表</w:t>
      </w:r>
    </w:p>
    <w:tbl>
      <w:tblPr>
        <w:tblStyle w:val="18"/>
        <w:tblW w:w="4998" w:type="pct"/>
        <w:tblInd w:w="0" w:type="dxa"/>
        <w:shd w:val="clear" w:color="auto" w:fill="auto"/>
        <w:tblLayout w:type="autofit"/>
        <w:tblCellMar>
          <w:top w:w="0" w:type="dxa"/>
          <w:left w:w="108" w:type="dxa"/>
          <w:bottom w:w="0" w:type="dxa"/>
          <w:right w:w="108" w:type="dxa"/>
        </w:tblCellMar>
      </w:tblPr>
      <w:tblGrid>
        <w:gridCol w:w="650"/>
        <w:gridCol w:w="1316"/>
        <w:gridCol w:w="435"/>
        <w:gridCol w:w="435"/>
        <w:gridCol w:w="435"/>
        <w:gridCol w:w="656"/>
        <w:gridCol w:w="435"/>
        <w:gridCol w:w="435"/>
        <w:gridCol w:w="656"/>
        <w:gridCol w:w="435"/>
        <w:gridCol w:w="435"/>
        <w:gridCol w:w="436"/>
        <w:gridCol w:w="448"/>
        <w:gridCol w:w="656"/>
        <w:gridCol w:w="656"/>
      </w:tblGrid>
      <w:tr>
        <w:tblPrEx>
          <w:shd w:val="clear" w:color="auto" w:fill="auto"/>
          <w:tblCellMar>
            <w:top w:w="0" w:type="dxa"/>
            <w:left w:w="108" w:type="dxa"/>
            <w:bottom w:w="0" w:type="dxa"/>
            <w:right w:w="108" w:type="dxa"/>
          </w:tblCellMar>
        </w:tblPrEx>
        <w:trPr>
          <w:trHeight w:val="270" w:hRule="atLeast"/>
        </w:trPr>
        <w:tc>
          <w:tcPr>
            <w:tcW w:w="382"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77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名称</w:t>
            </w:r>
          </w:p>
        </w:tc>
        <w:tc>
          <w:tcPr>
            <w:tcW w:w="3074"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尺码</w:t>
            </w:r>
          </w:p>
        </w:tc>
        <w:tc>
          <w:tcPr>
            <w:tcW w:w="38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38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r>
      <w:tr>
        <w:tblPrEx>
          <w:tblCellMar>
            <w:top w:w="0" w:type="dxa"/>
            <w:left w:w="108" w:type="dxa"/>
            <w:bottom w:w="0" w:type="dxa"/>
            <w:right w:w="108" w:type="dxa"/>
          </w:tblCellMar>
        </w:tblPrEx>
        <w:trPr>
          <w:trHeight w:val="270" w:hRule="atLeast"/>
        </w:trPr>
        <w:tc>
          <w:tcPr>
            <w:tcW w:w="382"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7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35</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36</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37</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37.5</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38</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39</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39.5</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40</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41</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42</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43</w:t>
            </w: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r>
      <w:tr>
        <w:tblPrEx>
          <w:tblCellMar>
            <w:top w:w="0" w:type="dxa"/>
            <w:left w:w="108" w:type="dxa"/>
            <w:bottom w:w="0" w:type="dxa"/>
            <w:right w:w="108" w:type="dxa"/>
          </w:tblCellMar>
        </w:tblPrEx>
        <w:trPr>
          <w:trHeight w:val="688" w:hRule="atLeast"/>
        </w:trPr>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羽毛球</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打</w:t>
            </w:r>
          </w:p>
        </w:tc>
      </w:tr>
      <w:tr>
        <w:tblPrEx>
          <w:tblCellMar>
            <w:top w:w="0" w:type="dxa"/>
            <w:left w:w="108" w:type="dxa"/>
            <w:bottom w:w="0" w:type="dxa"/>
            <w:right w:w="108" w:type="dxa"/>
          </w:tblCellMar>
        </w:tblPrEx>
        <w:trPr>
          <w:trHeight w:val="688" w:hRule="atLeast"/>
        </w:trPr>
        <w:tc>
          <w:tcPr>
            <w:tcW w:w="3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p>
        </w:tc>
        <w:tc>
          <w:tcPr>
            <w:tcW w:w="77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羽毛球地胶</w:t>
            </w: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片</w:t>
            </w:r>
          </w:p>
        </w:tc>
      </w:tr>
      <w:tr>
        <w:tblPrEx>
          <w:tblCellMar>
            <w:top w:w="0" w:type="dxa"/>
            <w:left w:w="108" w:type="dxa"/>
            <w:bottom w:w="0" w:type="dxa"/>
            <w:right w:w="108" w:type="dxa"/>
          </w:tblCellMar>
        </w:tblPrEx>
        <w:trPr>
          <w:trHeight w:val="688" w:hRule="atLeast"/>
        </w:trPr>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p>
        </w:tc>
        <w:tc>
          <w:tcPr>
            <w:tcW w:w="7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羽毛球专业比赛鞋</w:t>
            </w: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2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w:t>
            </w:r>
          </w:p>
        </w:tc>
      </w:tr>
      <w:tr>
        <w:tblPrEx>
          <w:tblCellMar>
            <w:top w:w="0" w:type="dxa"/>
            <w:left w:w="108" w:type="dxa"/>
            <w:bottom w:w="0" w:type="dxa"/>
            <w:right w:w="108" w:type="dxa"/>
          </w:tblCellMar>
        </w:tblPrEx>
        <w:trPr>
          <w:trHeight w:val="688" w:hRule="atLeast"/>
        </w:trPr>
        <w:tc>
          <w:tcPr>
            <w:tcW w:w="38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p>
        </w:tc>
        <w:tc>
          <w:tcPr>
            <w:tcW w:w="7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羽毛球专业比赛鞋</w:t>
            </w: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w:t>
            </w:r>
          </w:p>
        </w:tc>
      </w:tr>
      <w:tr>
        <w:tblPrEx>
          <w:tblCellMar>
            <w:top w:w="0" w:type="dxa"/>
            <w:left w:w="108" w:type="dxa"/>
            <w:bottom w:w="0" w:type="dxa"/>
            <w:right w:w="108" w:type="dxa"/>
          </w:tblCellMar>
        </w:tblPrEx>
        <w:trPr>
          <w:trHeight w:val="688" w:hRule="atLeast"/>
        </w:trPr>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羽毛球鞋</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w:t>
            </w:r>
          </w:p>
        </w:tc>
      </w:tr>
      <w:tr>
        <w:tblPrEx>
          <w:tblCellMar>
            <w:top w:w="0" w:type="dxa"/>
            <w:left w:w="108" w:type="dxa"/>
            <w:bottom w:w="0" w:type="dxa"/>
            <w:right w:w="108" w:type="dxa"/>
          </w:tblCellMar>
        </w:tblPrEx>
        <w:trPr>
          <w:trHeight w:val="688" w:hRule="atLeast"/>
        </w:trPr>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羽毛球鞋</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w:t>
            </w:r>
          </w:p>
        </w:tc>
      </w:tr>
      <w:tr>
        <w:tblPrEx>
          <w:tblCellMar>
            <w:top w:w="0" w:type="dxa"/>
            <w:left w:w="108" w:type="dxa"/>
            <w:bottom w:w="0" w:type="dxa"/>
            <w:right w:w="108" w:type="dxa"/>
          </w:tblCellMar>
        </w:tblPrEx>
        <w:trPr>
          <w:trHeight w:val="688" w:hRule="atLeast"/>
        </w:trPr>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羽毛球鞋</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w:t>
            </w:r>
          </w:p>
        </w:tc>
      </w:tr>
      <w:tr>
        <w:tblPrEx>
          <w:tblCellMar>
            <w:top w:w="0" w:type="dxa"/>
            <w:left w:w="108" w:type="dxa"/>
            <w:bottom w:w="0" w:type="dxa"/>
            <w:right w:w="108" w:type="dxa"/>
          </w:tblCellMar>
        </w:tblPrEx>
        <w:trPr>
          <w:trHeight w:val="688" w:hRule="atLeast"/>
        </w:trPr>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羽毛球鞋</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双</w:t>
            </w:r>
          </w:p>
        </w:tc>
      </w:tr>
      <w:tr>
        <w:tblPrEx>
          <w:tblCellMar>
            <w:top w:w="0" w:type="dxa"/>
            <w:left w:w="108" w:type="dxa"/>
            <w:bottom w:w="0" w:type="dxa"/>
            <w:right w:w="108" w:type="dxa"/>
          </w:tblCellMar>
        </w:tblPrEx>
        <w:trPr>
          <w:trHeight w:val="688" w:hRule="atLeast"/>
        </w:trPr>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体能训练绳</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r>
      <w:tr>
        <w:tblPrEx>
          <w:tblCellMar>
            <w:top w:w="0" w:type="dxa"/>
            <w:left w:w="108" w:type="dxa"/>
            <w:bottom w:w="0" w:type="dxa"/>
            <w:right w:w="108" w:type="dxa"/>
          </w:tblCellMar>
        </w:tblPrEx>
        <w:trPr>
          <w:trHeight w:val="688" w:hRule="atLeast"/>
        </w:trPr>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体能训练绳</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r>
      <w:tr>
        <w:tblPrEx>
          <w:tblCellMar>
            <w:top w:w="0" w:type="dxa"/>
            <w:left w:w="108" w:type="dxa"/>
            <w:bottom w:w="0" w:type="dxa"/>
            <w:right w:w="108" w:type="dxa"/>
          </w:tblCellMar>
        </w:tblPrEx>
        <w:trPr>
          <w:trHeight w:val="688" w:hRule="atLeast"/>
        </w:trPr>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体能训练绳</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根</w:t>
            </w:r>
          </w:p>
        </w:tc>
      </w:tr>
      <w:tr>
        <w:tblPrEx>
          <w:tblCellMar>
            <w:top w:w="0" w:type="dxa"/>
            <w:left w:w="108" w:type="dxa"/>
            <w:bottom w:w="0" w:type="dxa"/>
            <w:right w:w="108" w:type="dxa"/>
          </w:tblCellMar>
        </w:tblPrEx>
        <w:trPr>
          <w:trHeight w:val="688" w:hRule="atLeast"/>
        </w:trPr>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羽毛球网</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73" w:beforeLines="20" w:after="73" w:afterLines="20"/>
              <w:jc w:val="center"/>
              <w:rPr>
                <w:rFonts w:hint="eastAsia" w:ascii="宋体" w:hAnsi="宋体" w:eastAsia="宋体" w:cs="宋体"/>
                <w:i w:val="0"/>
                <w:iCs w:val="0"/>
                <w:color w:val="auto"/>
                <w:sz w:val="21"/>
                <w:szCs w:val="21"/>
                <w:highlight w:val="none"/>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73" w:beforeLines="20" w:after="73" w:afterLines="2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副</w:t>
            </w:r>
          </w:p>
        </w:tc>
      </w:tr>
    </w:tbl>
    <w:p>
      <w:pPr>
        <w:widowControl w:val="0"/>
        <w:adjustRightInd/>
        <w:snapToGrid/>
        <w:spacing w:after="0" w:line="240" w:lineRule="auto"/>
        <w:jc w:val="both"/>
        <w:rPr>
          <w:rFonts w:hint="eastAsia" w:ascii="Times New Roman" w:hAnsi="Times New Roman" w:eastAsia="宋体" w:cs="Times New Roman"/>
          <w:b/>
          <w:color w:val="auto"/>
          <w:kern w:val="2"/>
          <w:sz w:val="21"/>
          <w:szCs w:val="24"/>
          <w:highlight w:val="none"/>
        </w:rPr>
      </w:pPr>
      <w:r>
        <w:rPr>
          <w:rFonts w:hint="eastAsia" w:ascii="Times New Roman" w:hAnsi="Times New Roman" w:eastAsia="宋体" w:cs="Times New Roman"/>
          <w:b/>
          <w:color w:val="auto"/>
          <w:kern w:val="2"/>
          <w:sz w:val="21"/>
          <w:szCs w:val="24"/>
          <w:highlight w:val="none"/>
        </w:rPr>
        <w:t>注：</w:t>
      </w:r>
    </w:p>
    <w:p>
      <w:pPr>
        <w:keepNext w:val="0"/>
        <w:keepLines w:val="0"/>
        <w:pageBreakBefore w:val="0"/>
        <w:widowControl w:val="0"/>
        <w:kinsoku/>
        <w:wordWrap/>
        <w:overflowPunct/>
        <w:topLinePunct w:val="0"/>
        <w:autoSpaceDE/>
        <w:autoSpaceDN/>
        <w:bidi w:val="0"/>
        <w:adjustRightInd/>
        <w:snapToGrid/>
        <w:spacing w:before="73" w:beforeLines="20" w:after="73" w:afterLines="20" w:line="240" w:lineRule="auto"/>
        <w:ind w:firstLine="420" w:firstLineChars="200"/>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1、递交投标文件时需一并提交“采购清单”中“羽毛球器材”中序号为3、8货物样品各1件，以供评审。</w:t>
      </w:r>
    </w:p>
    <w:p>
      <w:pPr>
        <w:keepNext w:val="0"/>
        <w:keepLines w:val="0"/>
        <w:pageBreakBefore w:val="0"/>
        <w:widowControl w:val="0"/>
        <w:kinsoku/>
        <w:wordWrap/>
        <w:overflowPunct/>
        <w:topLinePunct w:val="0"/>
        <w:autoSpaceDE/>
        <w:autoSpaceDN/>
        <w:bidi w:val="0"/>
        <w:adjustRightInd/>
        <w:snapToGrid/>
        <w:spacing w:before="73" w:beforeLines="20" w:after="73" w:afterLines="20" w:line="240" w:lineRule="auto"/>
        <w:ind w:firstLine="420" w:firstLineChars="200"/>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2、必须提供产品实物图片（或图纸），包括货物的主要指标和性能的详细说明。</w:t>
      </w:r>
    </w:p>
    <w:p>
      <w:pPr>
        <w:keepNext w:val="0"/>
        <w:keepLines w:val="0"/>
        <w:pageBreakBefore w:val="0"/>
        <w:widowControl w:val="0"/>
        <w:kinsoku/>
        <w:wordWrap/>
        <w:overflowPunct/>
        <w:topLinePunct w:val="0"/>
        <w:autoSpaceDE/>
        <w:autoSpaceDN/>
        <w:bidi w:val="0"/>
        <w:adjustRightInd/>
        <w:snapToGrid/>
        <w:spacing w:before="73" w:beforeLines="20" w:after="73" w:afterLines="20" w:line="240" w:lineRule="auto"/>
        <w:ind w:firstLine="420" w:firstLineChars="200"/>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 xml:space="preserve"> 3、产品性能必须等同或优于本次招标要求，否则采购方有权要求供应商更换货物直至达到技术要求为准。</w:t>
      </w:r>
    </w:p>
    <w:p>
      <w:pPr>
        <w:keepNext w:val="0"/>
        <w:keepLines w:val="0"/>
        <w:pageBreakBefore w:val="0"/>
        <w:widowControl w:val="0"/>
        <w:kinsoku/>
        <w:wordWrap/>
        <w:overflowPunct/>
        <w:topLinePunct w:val="0"/>
        <w:autoSpaceDE/>
        <w:autoSpaceDN/>
        <w:bidi w:val="0"/>
        <w:adjustRightInd/>
        <w:snapToGrid/>
        <w:spacing w:before="73" w:beforeLines="20" w:after="73" w:afterLines="20" w:line="240" w:lineRule="auto"/>
        <w:ind w:firstLine="420" w:firstLineChars="200"/>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4、服装及鞋类码数及颜色根据上述表格进行提供，方可进行供货，若采购人需根据实际情况调整相关尺码或颜色，中标人需无条件配合采购人调整供货。</w:t>
      </w:r>
    </w:p>
    <w:p>
      <w:pPr>
        <w:numPr>
          <w:ilvl w:val="0"/>
          <w:numId w:val="0"/>
        </w:numPr>
        <w:rPr>
          <w:rFonts w:hint="eastAsia" w:ascii="宋体" w:hAnsi="宋体" w:eastAsia="宋体" w:cs="Times New Roman"/>
          <w:b/>
          <w:bCs/>
          <w:color w:val="auto"/>
          <w:kern w:val="2"/>
          <w:sz w:val="24"/>
          <w:szCs w:val="24"/>
          <w:highlight w:val="none"/>
          <w:lang w:eastAsia="zh-CN"/>
        </w:rPr>
      </w:pPr>
    </w:p>
    <w:p>
      <w:pPr>
        <w:numPr>
          <w:ilvl w:val="0"/>
          <w:numId w:val="0"/>
        </w:numPr>
        <w:rPr>
          <w:rFonts w:hint="eastAsia" w:ascii="宋体" w:hAnsi="宋体" w:eastAsia="宋体" w:cs="Times New Roman"/>
          <w:b/>
          <w:bCs/>
          <w:color w:val="auto"/>
          <w:kern w:val="2"/>
          <w:sz w:val="24"/>
          <w:szCs w:val="24"/>
          <w:highlight w:val="none"/>
        </w:rPr>
      </w:pPr>
      <w:r>
        <w:rPr>
          <w:rFonts w:hint="eastAsia" w:ascii="宋体" w:hAnsi="宋体" w:eastAsia="宋体" w:cs="Times New Roman"/>
          <w:b/>
          <w:bCs/>
          <w:color w:val="auto"/>
          <w:kern w:val="2"/>
          <w:sz w:val="24"/>
          <w:szCs w:val="24"/>
          <w:highlight w:val="none"/>
          <w:lang w:eastAsia="zh-CN"/>
        </w:rPr>
        <w:t>二</w:t>
      </w:r>
      <w:r>
        <w:rPr>
          <w:rFonts w:hint="eastAsia" w:ascii="宋体" w:hAnsi="宋体" w:eastAsia="宋体" w:cs="Times New Roman"/>
          <w:b/>
          <w:bCs/>
          <w:color w:val="auto"/>
          <w:kern w:val="2"/>
          <w:sz w:val="24"/>
          <w:szCs w:val="24"/>
          <w:highlight w:val="none"/>
        </w:rPr>
        <w:t>、交货验收与工期</w:t>
      </w:r>
    </w:p>
    <w:p>
      <w:pPr>
        <w:widowControl w:val="0"/>
        <w:adjustRightInd/>
        <w:snapToGrid/>
        <w:spacing w:after="0" w:line="240" w:lineRule="auto"/>
        <w:ind w:firstLine="420" w:firstLineChars="200"/>
        <w:jc w:val="both"/>
        <w:rPr>
          <w:rFonts w:hint="eastAsia" w:ascii="Times New Roman" w:hAnsi="Times New Roman" w:eastAsia="宋体" w:cs="Times New Roman"/>
          <w:color w:val="auto"/>
          <w:kern w:val="2"/>
          <w:sz w:val="21"/>
          <w:szCs w:val="24"/>
          <w:highlight w:val="none"/>
        </w:rPr>
      </w:pPr>
      <w:r>
        <w:rPr>
          <w:rFonts w:hint="eastAsia" w:ascii="Times New Roman" w:hAnsi="Times New Roman" w:eastAsia="宋体" w:cs="Times New Roman"/>
          <w:color w:val="auto"/>
          <w:kern w:val="2"/>
          <w:sz w:val="21"/>
          <w:szCs w:val="24"/>
          <w:highlight w:val="none"/>
        </w:rPr>
        <w:t>1、交货期为合同签订后</w:t>
      </w:r>
      <w:r>
        <w:rPr>
          <w:rFonts w:hint="eastAsia" w:ascii="Times New Roman" w:hAnsi="Times New Roman" w:eastAsia="宋体" w:cs="Times New Roman"/>
          <w:b/>
          <w:color w:val="auto"/>
          <w:kern w:val="2"/>
          <w:sz w:val="21"/>
          <w:szCs w:val="24"/>
          <w:highlight w:val="none"/>
        </w:rPr>
        <w:t>2</w:t>
      </w:r>
      <w:r>
        <w:rPr>
          <w:rFonts w:hint="eastAsia" w:ascii="Times New Roman" w:hAnsi="Times New Roman" w:eastAsia="宋体" w:cs="Times New Roman"/>
          <w:b/>
          <w:color w:val="auto"/>
          <w:kern w:val="2"/>
          <w:sz w:val="21"/>
          <w:szCs w:val="24"/>
          <w:highlight w:val="none"/>
          <w:lang w:val="en-US" w:eastAsia="zh-CN"/>
        </w:rPr>
        <w:t>5</w:t>
      </w:r>
      <w:r>
        <w:rPr>
          <w:rFonts w:hint="eastAsia" w:ascii="Times New Roman" w:hAnsi="Times New Roman" w:eastAsia="宋体" w:cs="Times New Roman"/>
          <w:color w:val="auto"/>
          <w:kern w:val="2"/>
          <w:sz w:val="21"/>
          <w:szCs w:val="24"/>
          <w:highlight w:val="none"/>
        </w:rPr>
        <w:t>天内。“</w:t>
      </w:r>
      <w:r>
        <w:rPr>
          <w:rFonts w:hint="eastAsia" w:ascii="Times New Roman" w:hAnsi="Times New Roman" w:eastAsia="宋体" w:cs="Times New Roman"/>
          <w:b/>
          <w:color w:val="auto"/>
          <w:kern w:val="2"/>
          <w:sz w:val="21"/>
          <w:szCs w:val="24"/>
          <w:highlight w:val="none"/>
        </w:rPr>
        <w:t>交货期</w:t>
      </w:r>
      <w:r>
        <w:rPr>
          <w:rFonts w:hint="eastAsia" w:ascii="Times New Roman" w:hAnsi="Times New Roman" w:eastAsia="宋体" w:cs="Times New Roman"/>
          <w:color w:val="auto"/>
          <w:kern w:val="2"/>
          <w:sz w:val="21"/>
          <w:szCs w:val="24"/>
          <w:highlight w:val="none"/>
        </w:rPr>
        <w:t>”指所有货物运抵现场安装调试完毕后交付用户验收的日期。</w:t>
      </w:r>
      <w:r>
        <w:rPr>
          <w:rFonts w:hint="eastAsia" w:ascii="Times New Roman" w:hAnsi="Times New Roman" w:eastAsia="宋体" w:cs="Times New Roman"/>
          <w:b/>
          <w:color w:val="auto"/>
          <w:kern w:val="2"/>
          <w:sz w:val="21"/>
          <w:szCs w:val="24"/>
          <w:highlight w:val="none"/>
        </w:rPr>
        <w:t>本项目交货期可在中标合同内按需方要求约定，中标单位需无条件同意采购单位的合理要求。</w:t>
      </w:r>
    </w:p>
    <w:p>
      <w:pPr>
        <w:keepNext w:val="0"/>
        <w:keepLines w:val="0"/>
        <w:pageBreakBefore w:val="0"/>
        <w:widowControl w:val="0"/>
        <w:kinsoku/>
        <w:wordWrap/>
        <w:overflowPunct/>
        <w:topLinePunct w:val="0"/>
        <w:autoSpaceDE/>
        <w:autoSpaceDN/>
        <w:bidi w:val="0"/>
        <w:adjustRightInd/>
        <w:snapToGrid/>
        <w:spacing w:before="73" w:beforeLines="20" w:after="73" w:afterLines="20" w:line="240" w:lineRule="auto"/>
        <w:ind w:firstLine="420" w:firstLineChars="200"/>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2、由于供应商的原因未能按时供货的，每迟一天罚款合同总额的0.5%；如超过供货期30天，将终止合同并通过法律程序对供应商进行索赔。</w:t>
      </w:r>
    </w:p>
    <w:p>
      <w:pPr>
        <w:keepNext w:val="0"/>
        <w:keepLines w:val="0"/>
        <w:pageBreakBefore w:val="0"/>
        <w:widowControl w:val="0"/>
        <w:kinsoku/>
        <w:wordWrap/>
        <w:overflowPunct/>
        <w:topLinePunct w:val="0"/>
        <w:autoSpaceDE/>
        <w:autoSpaceDN/>
        <w:bidi w:val="0"/>
        <w:adjustRightInd/>
        <w:snapToGrid/>
        <w:spacing w:before="73" w:beforeLines="20" w:after="73" w:afterLines="20" w:line="240" w:lineRule="auto"/>
        <w:ind w:firstLine="420" w:firstLineChars="200"/>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3、为适应国内外竞赛要求，所有器材的品牌、型号、标准在交货前需经采购方最终确认。</w:t>
      </w:r>
    </w:p>
    <w:p>
      <w:pPr>
        <w:widowControl w:val="0"/>
        <w:adjustRightInd/>
        <w:snapToGrid/>
        <w:spacing w:after="0" w:line="240" w:lineRule="auto"/>
        <w:jc w:val="both"/>
        <w:rPr>
          <w:rFonts w:hint="eastAsia" w:ascii="宋体" w:hAnsi="宋体" w:eastAsia="宋体" w:cs="Times New Roman"/>
          <w:b/>
          <w:bCs/>
          <w:color w:val="auto"/>
          <w:kern w:val="2"/>
          <w:sz w:val="24"/>
          <w:szCs w:val="24"/>
          <w:highlight w:val="none"/>
        </w:rPr>
      </w:pPr>
    </w:p>
    <w:p>
      <w:pPr>
        <w:widowControl w:val="0"/>
        <w:adjustRightInd/>
        <w:snapToGrid/>
        <w:spacing w:after="0" w:line="240" w:lineRule="auto"/>
        <w:jc w:val="both"/>
        <w:rPr>
          <w:rFonts w:ascii="宋体" w:hAnsi="宋体" w:eastAsia="宋体" w:cs="Times New Roman"/>
          <w:b/>
          <w:bCs/>
          <w:color w:val="auto"/>
          <w:kern w:val="2"/>
          <w:sz w:val="24"/>
          <w:szCs w:val="24"/>
          <w:highlight w:val="none"/>
        </w:rPr>
      </w:pPr>
      <w:r>
        <w:rPr>
          <w:rFonts w:hint="eastAsia" w:ascii="宋体" w:hAnsi="宋体" w:eastAsia="宋体" w:cs="Times New Roman"/>
          <w:b/>
          <w:bCs/>
          <w:color w:val="auto"/>
          <w:kern w:val="2"/>
          <w:sz w:val="24"/>
          <w:szCs w:val="24"/>
          <w:highlight w:val="none"/>
          <w:lang w:eastAsia="zh-CN"/>
        </w:rPr>
        <w:t>三</w:t>
      </w:r>
      <w:r>
        <w:rPr>
          <w:rFonts w:hint="eastAsia" w:ascii="宋体" w:hAnsi="宋体" w:eastAsia="宋体" w:cs="Times New Roman"/>
          <w:b/>
          <w:bCs/>
          <w:color w:val="auto"/>
          <w:kern w:val="2"/>
          <w:sz w:val="24"/>
          <w:szCs w:val="24"/>
          <w:highlight w:val="none"/>
        </w:rPr>
        <w:t>、付款方式</w:t>
      </w:r>
    </w:p>
    <w:p>
      <w:pPr>
        <w:keepNext w:val="0"/>
        <w:keepLines w:val="0"/>
        <w:pageBreakBefore w:val="0"/>
        <w:widowControl w:val="0"/>
        <w:kinsoku/>
        <w:wordWrap/>
        <w:overflowPunct/>
        <w:topLinePunct w:val="0"/>
        <w:autoSpaceDE/>
        <w:autoSpaceDN/>
        <w:bidi w:val="0"/>
        <w:adjustRightInd/>
        <w:snapToGrid/>
        <w:spacing w:before="73" w:beforeLines="20" w:after="73" w:afterLines="20" w:line="240"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合同签订生效之日起3个工作日内，</w:t>
      </w:r>
      <w:r>
        <w:rPr>
          <w:rFonts w:hint="eastAsia" w:ascii="宋体" w:hAnsi="宋体" w:eastAsia="宋体" w:cs="宋体"/>
          <w:color w:val="auto"/>
          <w:kern w:val="2"/>
          <w:sz w:val="21"/>
          <w:szCs w:val="21"/>
          <w:highlight w:val="none"/>
          <w:lang w:eastAsia="zh-CN"/>
        </w:rPr>
        <w:t>采购人</w:t>
      </w:r>
      <w:r>
        <w:rPr>
          <w:rFonts w:hint="eastAsia" w:ascii="宋体" w:hAnsi="宋体" w:eastAsia="宋体" w:cs="宋体"/>
          <w:color w:val="auto"/>
          <w:kern w:val="2"/>
          <w:sz w:val="21"/>
          <w:szCs w:val="21"/>
          <w:highlight w:val="none"/>
        </w:rPr>
        <w:t>按合同货款预付总额的50%；在全部货品货到验收合格无质量问题后 7个工作日内在退换码完成后一次性付清余款50%的货款。</w:t>
      </w:r>
    </w:p>
    <w:p>
      <w:pPr>
        <w:widowControl w:val="0"/>
        <w:adjustRightInd/>
        <w:snapToGrid/>
        <w:spacing w:after="0" w:line="240" w:lineRule="auto"/>
        <w:jc w:val="both"/>
        <w:rPr>
          <w:rFonts w:ascii="Times New Roman" w:hAnsi="Times New Roman" w:eastAsia="宋体" w:cs="Times New Roman"/>
          <w:color w:val="auto"/>
          <w:kern w:val="2"/>
          <w:sz w:val="21"/>
          <w:szCs w:val="24"/>
          <w:highlight w:val="none"/>
        </w:rPr>
      </w:pPr>
    </w:p>
    <w:p>
      <w:pPr>
        <w:widowControl w:val="0"/>
        <w:adjustRightInd/>
        <w:snapToGrid/>
        <w:spacing w:after="0" w:line="240" w:lineRule="auto"/>
        <w:jc w:val="both"/>
        <w:rPr>
          <w:rFonts w:ascii="宋体" w:hAnsi="宋体" w:eastAsia="宋体" w:cs="Times New Roman"/>
          <w:b/>
          <w:bCs/>
          <w:color w:val="auto"/>
          <w:kern w:val="2"/>
          <w:sz w:val="24"/>
          <w:szCs w:val="24"/>
          <w:highlight w:val="none"/>
        </w:rPr>
      </w:pPr>
      <w:r>
        <w:rPr>
          <w:rFonts w:hint="eastAsia" w:ascii="宋体" w:hAnsi="宋体" w:eastAsia="宋体" w:cs="Times New Roman"/>
          <w:b/>
          <w:bCs/>
          <w:color w:val="auto"/>
          <w:kern w:val="2"/>
          <w:sz w:val="24"/>
          <w:szCs w:val="24"/>
          <w:highlight w:val="none"/>
          <w:lang w:eastAsia="zh-CN"/>
        </w:rPr>
        <w:t>四</w:t>
      </w:r>
      <w:r>
        <w:rPr>
          <w:rFonts w:hint="eastAsia" w:ascii="宋体" w:hAnsi="宋体" w:eastAsia="宋体" w:cs="Times New Roman"/>
          <w:b/>
          <w:bCs/>
          <w:color w:val="auto"/>
          <w:kern w:val="2"/>
          <w:sz w:val="24"/>
          <w:szCs w:val="24"/>
          <w:highlight w:val="none"/>
        </w:rPr>
        <w:t>、售后服务</w:t>
      </w:r>
    </w:p>
    <w:p>
      <w:pPr>
        <w:keepNext w:val="0"/>
        <w:keepLines w:val="0"/>
        <w:pageBreakBefore w:val="0"/>
        <w:widowControl w:val="0"/>
        <w:kinsoku/>
        <w:wordWrap/>
        <w:overflowPunct/>
        <w:topLinePunct w:val="0"/>
        <w:autoSpaceDE/>
        <w:autoSpaceDN/>
        <w:bidi w:val="0"/>
        <w:adjustRightInd/>
        <w:snapToGrid/>
        <w:spacing w:before="73" w:beforeLines="20" w:after="73" w:afterLines="20" w:line="240" w:lineRule="auto"/>
        <w:ind w:firstLine="420" w:firstLineChars="200"/>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1、免费送货上门、安装、调试，并试运行；</w:t>
      </w:r>
    </w:p>
    <w:p>
      <w:pPr>
        <w:keepNext w:val="0"/>
        <w:keepLines w:val="0"/>
        <w:pageBreakBefore w:val="0"/>
        <w:widowControl w:val="0"/>
        <w:kinsoku/>
        <w:wordWrap/>
        <w:overflowPunct/>
        <w:topLinePunct w:val="0"/>
        <w:autoSpaceDE/>
        <w:autoSpaceDN/>
        <w:bidi w:val="0"/>
        <w:adjustRightInd/>
        <w:snapToGrid/>
        <w:spacing w:before="73" w:beforeLines="20" w:after="73" w:afterLines="20" w:line="240" w:lineRule="auto"/>
        <w:ind w:firstLine="420" w:firstLineChars="200"/>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2、根据采购方需要提供免费日常使用、保养培训；</w:t>
      </w:r>
    </w:p>
    <w:p>
      <w:pPr>
        <w:keepNext w:val="0"/>
        <w:keepLines w:val="0"/>
        <w:pageBreakBefore w:val="0"/>
        <w:widowControl w:val="0"/>
        <w:kinsoku/>
        <w:wordWrap/>
        <w:overflowPunct/>
        <w:topLinePunct w:val="0"/>
        <w:autoSpaceDE/>
        <w:autoSpaceDN/>
        <w:bidi w:val="0"/>
        <w:adjustRightInd/>
        <w:snapToGrid/>
        <w:spacing w:before="73" w:beforeLines="20" w:after="73" w:afterLines="20" w:line="240" w:lineRule="auto"/>
        <w:ind w:firstLine="420" w:firstLineChars="200"/>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3、非耗材类产品免费保修至少一年（用户单位验收合格之日起计算），终身维护；</w:t>
      </w:r>
    </w:p>
    <w:p>
      <w:pPr>
        <w:keepNext w:val="0"/>
        <w:keepLines w:val="0"/>
        <w:pageBreakBefore w:val="0"/>
        <w:widowControl w:val="0"/>
        <w:kinsoku/>
        <w:wordWrap/>
        <w:overflowPunct/>
        <w:topLinePunct w:val="0"/>
        <w:autoSpaceDE/>
        <w:autoSpaceDN/>
        <w:bidi w:val="0"/>
        <w:adjustRightInd/>
        <w:snapToGrid/>
        <w:spacing w:before="73" w:beforeLines="20" w:after="73" w:afterLines="20" w:line="240" w:lineRule="auto"/>
        <w:ind w:firstLine="420" w:firstLineChars="200"/>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4、在保修期限内如产品出现故障，须在接用户单位通知后24小时内赶到现场进行维修，如当日不能修复的，中标商须根据采购方要求提供同等替代产品；</w:t>
      </w:r>
    </w:p>
    <w:p>
      <w:pPr>
        <w:keepNext w:val="0"/>
        <w:keepLines w:val="0"/>
        <w:pageBreakBefore w:val="0"/>
        <w:widowControl w:val="0"/>
        <w:kinsoku/>
        <w:wordWrap/>
        <w:overflowPunct/>
        <w:topLinePunct w:val="0"/>
        <w:autoSpaceDE/>
        <w:autoSpaceDN/>
        <w:bidi w:val="0"/>
        <w:adjustRightInd/>
        <w:snapToGrid/>
        <w:spacing w:before="73" w:beforeLines="20" w:after="73" w:afterLines="20" w:line="240" w:lineRule="auto"/>
        <w:ind w:firstLine="420" w:firstLineChars="200"/>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5、以上为项目售后服务基本要求，投标人应在此基础上提供详细售后服务方案和有关承诺说明。</w:t>
      </w:r>
    </w:p>
    <w:p>
      <w:pPr>
        <w:widowControl w:val="0"/>
        <w:adjustRightInd/>
        <w:snapToGrid/>
        <w:spacing w:after="0" w:line="240" w:lineRule="auto"/>
        <w:jc w:val="both"/>
        <w:rPr>
          <w:rFonts w:hint="eastAsia" w:ascii="宋体" w:hAnsi="宋体" w:eastAsia="宋体" w:cs="Times New Roman"/>
          <w:b/>
          <w:bCs/>
          <w:color w:val="auto"/>
          <w:kern w:val="2"/>
          <w:sz w:val="24"/>
          <w:szCs w:val="24"/>
          <w:highlight w:val="none"/>
        </w:rPr>
      </w:pPr>
    </w:p>
    <w:p>
      <w:pPr>
        <w:widowControl w:val="0"/>
        <w:adjustRightInd/>
        <w:snapToGrid/>
        <w:spacing w:after="0" w:line="240" w:lineRule="auto"/>
        <w:jc w:val="both"/>
        <w:rPr>
          <w:rFonts w:hint="eastAsia" w:ascii="宋体" w:hAnsi="宋体" w:eastAsia="宋体" w:cs="Times New Roman"/>
          <w:b/>
          <w:bCs/>
          <w:color w:val="auto"/>
          <w:kern w:val="2"/>
          <w:sz w:val="24"/>
          <w:szCs w:val="24"/>
          <w:highlight w:val="none"/>
          <w:lang w:eastAsia="zh-CN"/>
        </w:rPr>
      </w:pPr>
      <w:r>
        <w:rPr>
          <w:rFonts w:hint="eastAsia" w:ascii="宋体" w:hAnsi="宋体" w:eastAsia="宋体" w:cs="Times New Roman"/>
          <w:b/>
          <w:bCs/>
          <w:color w:val="auto"/>
          <w:kern w:val="2"/>
          <w:sz w:val="24"/>
          <w:szCs w:val="24"/>
          <w:highlight w:val="none"/>
          <w:lang w:val="en-US" w:eastAsia="zh-CN"/>
        </w:rPr>
        <w:t>五</w:t>
      </w:r>
      <w:r>
        <w:rPr>
          <w:rFonts w:hint="eastAsia" w:ascii="宋体" w:hAnsi="宋体" w:eastAsia="宋体" w:cs="Times New Roman"/>
          <w:b/>
          <w:bCs/>
          <w:color w:val="auto"/>
          <w:kern w:val="2"/>
          <w:sz w:val="24"/>
          <w:szCs w:val="24"/>
          <w:highlight w:val="none"/>
          <w:lang w:eastAsia="zh-CN"/>
        </w:rPr>
        <w:t>、其他</w:t>
      </w:r>
    </w:p>
    <w:p>
      <w:pPr>
        <w:keepNext w:val="0"/>
        <w:keepLines w:val="0"/>
        <w:pageBreakBefore w:val="0"/>
        <w:widowControl w:val="0"/>
        <w:kinsoku/>
        <w:wordWrap/>
        <w:overflowPunct/>
        <w:topLinePunct w:val="0"/>
        <w:autoSpaceDE/>
        <w:autoSpaceDN/>
        <w:bidi w:val="0"/>
        <w:adjustRightInd/>
        <w:snapToGrid/>
        <w:spacing w:before="73" w:beforeLines="20" w:after="73" w:afterLines="20" w:line="240" w:lineRule="auto"/>
        <w:ind w:firstLine="420" w:firstLineChars="200"/>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技术要求中产品技术参数为参考值，所投产品对应参数可上下浮动不超过10%。招标文件的技术规格中指出的工艺、材料和设备的标准以及参照的品牌、型号或参考图片，来源于网络查询，仅起说明作用，并没有任何限制性。投标人在投标中可以选用替代标准、品牌或型号，但这些替代要实质上满足或超过招标文件的要求。项目评审时，由评标委员会负责对投标人提供的替代标准、品牌或型号的响应性进行审查。</w:t>
      </w:r>
    </w:p>
    <w:p>
      <w:pPr>
        <w:keepNext w:val="0"/>
        <w:keepLines w:val="0"/>
        <w:pageBreakBefore w:val="0"/>
        <w:widowControl w:val="0"/>
        <w:kinsoku/>
        <w:wordWrap/>
        <w:overflowPunct/>
        <w:topLinePunct w:val="0"/>
        <w:autoSpaceDE/>
        <w:autoSpaceDN/>
        <w:bidi w:val="0"/>
        <w:adjustRightInd/>
        <w:snapToGrid/>
        <w:spacing w:before="73" w:beforeLines="20" w:after="73" w:afterLines="20" w:line="240" w:lineRule="auto"/>
        <w:ind w:firstLine="420" w:firstLineChars="200"/>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投标单位应保证提供的货物在不需要增配未列出配件（特别指出的除外）的前提下货物功能、技术标准能够达到招标文件的要求，而无须再增配未列出的配件；如供应商所提供的产品需要增配配件才能达到要求的，所增配的配件须由供应商免费提供。</w:t>
      </w:r>
    </w:p>
    <w:p>
      <w:pPr>
        <w:keepNext w:val="0"/>
        <w:keepLines w:val="0"/>
        <w:pageBreakBefore w:val="0"/>
        <w:widowControl w:val="0"/>
        <w:kinsoku/>
        <w:wordWrap/>
        <w:overflowPunct/>
        <w:topLinePunct w:val="0"/>
        <w:autoSpaceDE/>
        <w:autoSpaceDN/>
        <w:bidi w:val="0"/>
        <w:adjustRightInd/>
        <w:snapToGrid/>
        <w:spacing w:before="73" w:beforeLines="20" w:after="73" w:afterLines="20" w:line="240" w:lineRule="auto"/>
        <w:ind w:firstLine="420" w:firstLineChars="200"/>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3、项目清单为本次采购最低要求，各供应商可以自行优化供货计划，并应严格按照国家相关标准规定及行业标准提供合格的或更优的投标货物。</w:t>
      </w:r>
    </w:p>
    <w:p>
      <w:pPr>
        <w:keepNext w:val="0"/>
        <w:keepLines w:val="0"/>
        <w:pageBreakBefore w:val="0"/>
        <w:widowControl w:val="0"/>
        <w:kinsoku/>
        <w:wordWrap/>
        <w:overflowPunct/>
        <w:topLinePunct w:val="0"/>
        <w:autoSpaceDE/>
        <w:autoSpaceDN/>
        <w:bidi w:val="0"/>
        <w:adjustRightInd/>
        <w:snapToGrid/>
        <w:spacing w:before="73" w:beforeLines="20" w:after="73" w:afterLines="20" w:line="240" w:lineRule="auto"/>
        <w:ind w:firstLine="420" w:firstLineChars="200"/>
        <w:jc w:val="both"/>
        <w:textAlignment w:val="auto"/>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4、投标报价及分项报价均不得超出预算价。</w:t>
      </w:r>
    </w:p>
    <w:p>
      <w:pPr>
        <w:pStyle w:val="2"/>
        <w:rPr>
          <w:color w:val="auto"/>
          <w:highlight w:val="none"/>
        </w:rPr>
      </w:pPr>
    </w:p>
    <w:p>
      <w:pPr>
        <w:spacing w:after="0" w:line="360" w:lineRule="auto"/>
        <w:ind w:firstLine="422" w:firstLineChars="200"/>
        <w:rPr>
          <w:rFonts w:hint="eastAsia"/>
          <w:color w:val="auto"/>
          <w:sz w:val="28"/>
          <w:szCs w:val="28"/>
          <w:highlight w:val="none"/>
        </w:rPr>
      </w:pPr>
      <w:r>
        <w:rPr>
          <w:rFonts w:hint="eastAsia" w:ascii="宋体" w:hAnsi="宋体" w:eastAsia="宋体" w:cs="Times New Roman"/>
          <w:b/>
          <w:bCs/>
          <w:color w:val="auto"/>
          <w:sz w:val="21"/>
          <w:szCs w:val="21"/>
          <w:highlight w:val="none"/>
        </w:rPr>
        <w:t>注：不满足招标文件中 “★”条款的投标文件将作无效投标处理。</w:t>
      </w:r>
      <w:bookmarkStart w:id="10" w:name="_Toc18811"/>
    </w:p>
    <w:p>
      <w:pPr>
        <w:pStyle w:val="3"/>
        <w:spacing w:before="0" w:after="0" w:line="240" w:lineRule="auto"/>
        <w:rPr>
          <w:color w:val="auto"/>
          <w:sz w:val="24"/>
          <w:szCs w:val="24"/>
          <w:highlight w:val="none"/>
        </w:rPr>
      </w:pPr>
      <w:r>
        <w:rPr>
          <w:rFonts w:hint="eastAsia"/>
          <w:color w:val="auto"/>
          <w:sz w:val="28"/>
          <w:szCs w:val="28"/>
          <w:highlight w:val="none"/>
        </w:rPr>
        <w:t>第四部分 投标人须知</w:t>
      </w:r>
      <w:bookmarkEnd w:id="10"/>
    </w:p>
    <w:p>
      <w:pPr>
        <w:pStyle w:val="4"/>
        <w:numPr>
          <w:ilvl w:val="0"/>
          <w:numId w:val="3"/>
        </w:numPr>
        <w:spacing w:before="0" w:after="0" w:line="480" w:lineRule="auto"/>
        <w:jc w:val="center"/>
        <w:rPr>
          <w:rFonts w:ascii="宋体" w:hAnsi="宋体" w:eastAsia="宋体"/>
          <w:color w:val="auto"/>
          <w:highlight w:val="none"/>
        </w:rPr>
      </w:pPr>
      <w:bookmarkStart w:id="11" w:name="_Toc9559"/>
      <w:r>
        <w:rPr>
          <w:rFonts w:hint="eastAsia" w:ascii="宋体" w:hAnsi="宋体" w:eastAsia="宋体"/>
          <w:color w:val="auto"/>
          <w:highlight w:val="none"/>
        </w:rPr>
        <w:t>说明</w:t>
      </w:r>
      <w:bookmarkEnd w:id="11"/>
    </w:p>
    <w:p>
      <w:pPr>
        <w:pStyle w:val="5"/>
        <w:widowControl w:val="0"/>
        <w:overflowPunct w:val="0"/>
        <w:spacing w:before="0" w:after="0" w:line="240" w:lineRule="auto"/>
        <w:rPr>
          <w:rFonts w:ascii="宋体" w:hAnsi="宋体" w:eastAsia="宋体"/>
          <w:color w:val="auto"/>
          <w:sz w:val="21"/>
          <w:szCs w:val="21"/>
          <w:highlight w:val="none"/>
        </w:rPr>
      </w:pPr>
      <w:bookmarkStart w:id="12" w:name="_Toc18092"/>
      <w:r>
        <w:rPr>
          <w:rFonts w:hint="eastAsia" w:ascii="宋体" w:hAnsi="宋体" w:eastAsia="宋体"/>
          <w:color w:val="auto"/>
          <w:sz w:val="21"/>
          <w:szCs w:val="21"/>
          <w:highlight w:val="none"/>
        </w:rPr>
        <w:t>1.适用范围</w:t>
      </w:r>
      <w:bookmarkEnd w:id="12"/>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招标范围：见本文件《用户需求书》</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13" w:name="_Toc14885"/>
      <w:r>
        <w:rPr>
          <w:rFonts w:hint="eastAsia" w:ascii="宋体" w:hAnsi="宋体" w:eastAsia="宋体"/>
          <w:color w:val="auto"/>
          <w:sz w:val="21"/>
          <w:szCs w:val="21"/>
          <w:highlight w:val="none"/>
        </w:rPr>
        <w:t>2.</w:t>
      </w:r>
      <w:bookmarkStart w:id="14" w:name="_Toc303084246"/>
      <w:bookmarkStart w:id="15" w:name="_Toc298847174"/>
      <w:bookmarkStart w:id="16" w:name="_Toc382049092"/>
      <w:bookmarkStart w:id="17" w:name="_Toc1530"/>
      <w:r>
        <w:rPr>
          <w:rFonts w:hint="eastAsia" w:ascii="宋体" w:hAnsi="宋体" w:eastAsia="宋体"/>
          <w:color w:val="auto"/>
          <w:sz w:val="21"/>
          <w:szCs w:val="21"/>
          <w:highlight w:val="none"/>
        </w:rPr>
        <w:t>定义</w:t>
      </w:r>
      <w:bookmarkEnd w:id="13"/>
      <w:bookmarkEnd w:id="14"/>
      <w:bookmarkEnd w:id="15"/>
      <w:bookmarkEnd w:id="16"/>
      <w:bookmarkEnd w:id="17"/>
    </w:p>
    <w:p>
      <w:pPr>
        <w:pStyle w:val="26"/>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w:t>
      </w:r>
      <w:r>
        <w:rPr>
          <w:rFonts w:ascii="宋体" w:hAnsi="宋体" w:eastAsia="宋体"/>
          <w:color w:val="auto"/>
          <w:sz w:val="21"/>
          <w:szCs w:val="21"/>
          <w:highlight w:val="none"/>
        </w:rPr>
        <w:t>是指依法进行政府采购的国家机关、事业单位</w:t>
      </w:r>
      <w:r>
        <w:rPr>
          <w:rFonts w:hint="eastAsia" w:ascii="宋体" w:hAnsi="宋体" w:eastAsia="宋体"/>
          <w:color w:val="auto"/>
          <w:sz w:val="21"/>
          <w:szCs w:val="21"/>
          <w:highlight w:val="none"/>
        </w:rPr>
        <w:t>等</w:t>
      </w:r>
      <w:r>
        <w:rPr>
          <w:rFonts w:ascii="宋体" w:hAnsi="宋体" w:eastAsia="宋体"/>
          <w:color w:val="auto"/>
          <w:sz w:val="21"/>
          <w:szCs w:val="21"/>
          <w:highlight w:val="none"/>
        </w:rPr>
        <w:t>团体组织</w:t>
      </w:r>
      <w:r>
        <w:rPr>
          <w:rFonts w:hint="eastAsia" w:ascii="宋体" w:hAnsi="宋体" w:eastAsia="宋体"/>
          <w:color w:val="auto"/>
          <w:sz w:val="21"/>
          <w:szCs w:val="21"/>
          <w:highlight w:val="none"/>
        </w:rPr>
        <w:t>。</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投标人：响应招标并且符合招标文件规定资格条件和参加投标竞争的法人、其他组织或者自然人。</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法人：法人是依法在国内进行注册并具有民事权利能力和民事行为能力，依法独立享有民事权利和承担民事义务的组织。</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中标人：指经评标委员会评审推荐、采购人确认的获得本项目中标资格的投标人。</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w:t>
      </w:r>
      <w:r>
        <w:rPr>
          <w:rFonts w:hint="eastAsia" w:ascii="宋体" w:hAnsi="宋体" w:eastAsia="宋体"/>
          <w:color w:val="auto"/>
          <w:sz w:val="21"/>
          <w:szCs w:val="21"/>
          <w:highlight w:val="none"/>
          <w:lang w:eastAsia="zh-CN"/>
        </w:rPr>
        <w:t>三方诚信招标有限公司</w:t>
      </w:r>
      <w:r>
        <w:rPr>
          <w:rFonts w:hint="eastAsia" w:ascii="宋体" w:hAnsi="宋体" w:eastAsia="宋体"/>
          <w:color w:val="auto"/>
          <w:sz w:val="21"/>
          <w:szCs w:val="21"/>
          <w:highlight w:val="none"/>
        </w:rPr>
        <w:t>东莞分公司。</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评标委员会：评标委员会是依据</w:t>
      </w:r>
      <w:r>
        <w:rPr>
          <w:rFonts w:hint="eastAsia" w:ascii="宋体" w:hAnsi="宋体" w:eastAsia="宋体"/>
          <w:color w:val="auto"/>
          <w:sz w:val="21"/>
          <w:szCs w:val="21"/>
          <w:highlight w:val="none"/>
          <w:lang w:eastAsia="zh-CN"/>
        </w:rPr>
        <w:t>相关规定</w:t>
      </w:r>
      <w:r>
        <w:rPr>
          <w:rFonts w:hint="eastAsia" w:ascii="宋体" w:hAnsi="宋体" w:eastAsia="宋体"/>
          <w:color w:val="auto"/>
          <w:sz w:val="21"/>
          <w:szCs w:val="21"/>
          <w:highlight w:val="none"/>
        </w:rPr>
        <w:t>组建的专门负责本次招标其评标工作的临时性机构。</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合同：指由本次招标所产生的合同或合约文件。</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公章：</w:t>
      </w:r>
      <w:r>
        <w:rPr>
          <w:rFonts w:ascii="宋体" w:hAnsi="宋体" w:eastAsia="宋体"/>
          <w:color w:val="auto"/>
          <w:sz w:val="21"/>
          <w:szCs w:val="21"/>
          <w:highlight w:val="none"/>
        </w:rPr>
        <w:t>公章是</w:t>
      </w:r>
      <w:r>
        <w:rPr>
          <w:rFonts w:ascii="宋体" w:hAnsi="宋体" w:eastAsia="宋体"/>
          <w:iCs/>
          <w:color w:val="auto"/>
          <w:sz w:val="21"/>
          <w:szCs w:val="21"/>
          <w:highlight w:val="none"/>
        </w:rPr>
        <w:t>指</w:t>
      </w:r>
      <w:r>
        <w:rPr>
          <w:rFonts w:hint="eastAsia" w:ascii="宋体" w:hAnsi="宋体" w:eastAsia="宋体"/>
          <w:iCs/>
          <w:color w:val="auto"/>
          <w:sz w:val="21"/>
          <w:szCs w:val="21"/>
          <w:highlight w:val="none"/>
        </w:rPr>
        <w:t>经过正规的法定程序并备案的法人公章与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r>
        <w:rPr>
          <w:rFonts w:hint="eastAsia" w:ascii="宋体" w:hAnsi="宋体" w:eastAsia="宋体"/>
          <w:color w:val="auto"/>
          <w:sz w:val="21"/>
          <w:szCs w:val="21"/>
          <w:highlight w:val="none"/>
        </w:rPr>
        <w:t>）</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时间</w:t>
      </w:r>
      <w:r>
        <w:rPr>
          <w:rFonts w:hint="eastAsia" w:ascii="宋体" w:hAnsi="宋体" w:eastAsia="宋体"/>
          <w:iCs/>
          <w:color w:val="auto"/>
          <w:sz w:val="21"/>
          <w:szCs w:val="21"/>
          <w:highlight w:val="none"/>
        </w:rPr>
        <w:t>：本文件规定按日计算期间的，开始当天不计入，从次日开始计算。期限的最后一日是国家法定节假日的，顺延到节假日后的次日为期限的最后一日。</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18" w:name="_Toc14014"/>
      <w:r>
        <w:rPr>
          <w:rFonts w:hint="eastAsia" w:ascii="宋体" w:hAnsi="宋体" w:eastAsia="宋体"/>
          <w:color w:val="auto"/>
          <w:sz w:val="21"/>
          <w:szCs w:val="21"/>
          <w:highlight w:val="none"/>
        </w:rPr>
        <w:t>3.货物和服务</w:t>
      </w:r>
      <w:bookmarkEnd w:id="18"/>
    </w:p>
    <w:p>
      <w:pPr>
        <w:pStyle w:val="26"/>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货物</w:t>
      </w:r>
      <w:r>
        <w:rPr>
          <w:rFonts w:ascii="宋体" w:hAnsi="宋体" w:eastAsia="宋体"/>
          <w:color w:val="auto"/>
          <w:sz w:val="21"/>
          <w:szCs w:val="21"/>
          <w:highlight w:val="none"/>
        </w:rPr>
        <w:t>是指各种形态和种类的物品，包括原材料、燃料、设备、产品等</w:t>
      </w:r>
      <w:r>
        <w:rPr>
          <w:rFonts w:hint="eastAsia" w:ascii="宋体" w:hAnsi="宋体" w:eastAsia="宋体"/>
          <w:color w:val="auto"/>
          <w:sz w:val="21"/>
          <w:szCs w:val="21"/>
          <w:highlight w:val="none"/>
        </w:rPr>
        <w:t>。</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服务是指</w:t>
      </w:r>
      <w:r>
        <w:rPr>
          <w:rFonts w:ascii="宋体" w:hAnsi="宋体" w:eastAsia="宋体"/>
          <w:color w:val="auto"/>
          <w:sz w:val="21"/>
          <w:szCs w:val="21"/>
          <w:highlight w:val="none"/>
        </w:rPr>
        <w:t>除货物和工程以外的其他采购对象</w:t>
      </w:r>
      <w:r>
        <w:rPr>
          <w:rFonts w:hint="eastAsia" w:ascii="宋体" w:hAnsi="宋体" w:eastAsia="宋体"/>
          <w:color w:val="auto"/>
          <w:sz w:val="21"/>
          <w:szCs w:val="21"/>
          <w:highlight w:val="none"/>
        </w:rPr>
        <w:t>。</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19" w:name="_Toc25490"/>
      <w:r>
        <w:rPr>
          <w:rFonts w:hint="eastAsia" w:ascii="宋体" w:hAnsi="宋体" w:eastAsia="宋体"/>
          <w:color w:val="auto"/>
          <w:sz w:val="21"/>
          <w:szCs w:val="21"/>
          <w:highlight w:val="none"/>
        </w:rPr>
        <w:t>4.投标费用</w:t>
      </w:r>
      <w:bookmarkEnd w:id="19"/>
    </w:p>
    <w:p>
      <w:pPr>
        <w:pStyle w:val="26"/>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投标人应承担所有与编写投标文件和参加投标有关的自身的所有费用，不论投标的结果如何，采购代理机构和采购人在任何情况下均无义务和责任承担这些费用。</w:t>
      </w:r>
    </w:p>
    <w:p>
      <w:pPr>
        <w:widowControl w:val="0"/>
        <w:adjustRightInd/>
        <w:snapToGrid/>
        <w:spacing w:after="0" w:line="360" w:lineRule="exact"/>
        <w:jc w:val="both"/>
        <w:rPr>
          <w:rFonts w:ascii="宋体" w:hAnsi="宋体" w:eastAsia="宋体"/>
          <w:color w:val="auto"/>
          <w:sz w:val="21"/>
          <w:szCs w:val="21"/>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20" w:name="_Toc15919"/>
      <w:r>
        <w:rPr>
          <w:rFonts w:hint="eastAsia" w:ascii="宋体" w:hAnsi="宋体" w:eastAsia="宋体"/>
          <w:color w:val="auto"/>
          <w:sz w:val="21"/>
          <w:szCs w:val="21"/>
          <w:highlight w:val="none"/>
        </w:rPr>
        <w:t>5.知识产权</w:t>
      </w:r>
      <w:bookmarkEnd w:id="20"/>
    </w:p>
    <w:p>
      <w:pPr>
        <w:pStyle w:val="26"/>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采购人享有本项目实施过程中产生的知识成果及知识产权。</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投标人如欲在项目实施过程中采用自有知识成果，需在投标文件中声明，并提供相关知识产权证明文件。使用该知识成果后，投标人需提供开发接口和开发手册等技术文档。</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采购货物为</w:t>
      </w:r>
      <w:r>
        <w:rPr>
          <w:rFonts w:ascii="宋体" w:hAnsi="宋体" w:eastAsia="宋体"/>
          <w:color w:val="auto"/>
          <w:sz w:val="21"/>
          <w:szCs w:val="21"/>
          <w:highlight w:val="none"/>
        </w:rPr>
        <w:t>计算机办公设备时，</w:t>
      </w:r>
      <w:r>
        <w:rPr>
          <w:rFonts w:hint="eastAsia" w:ascii="宋体" w:hAnsi="宋体" w:eastAsia="宋体"/>
          <w:color w:val="auto"/>
          <w:sz w:val="21"/>
          <w:szCs w:val="21"/>
          <w:highlight w:val="none"/>
        </w:rPr>
        <w:t>投标人提供的产品必须是</w:t>
      </w:r>
      <w:r>
        <w:rPr>
          <w:rFonts w:ascii="宋体" w:hAnsi="宋体" w:eastAsia="宋体"/>
          <w:color w:val="auto"/>
          <w:sz w:val="21"/>
          <w:szCs w:val="21"/>
          <w:highlight w:val="none"/>
        </w:rPr>
        <w:t>预装正版操作系统软件的计算机产品</w:t>
      </w:r>
      <w:r>
        <w:rPr>
          <w:rFonts w:hint="eastAsia" w:ascii="宋体" w:hAnsi="宋体" w:eastAsia="宋体"/>
          <w:color w:val="auto"/>
          <w:sz w:val="21"/>
          <w:szCs w:val="21"/>
          <w:highlight w:val="none"/>
        </w:rPr>
        <w:t>。</w:t>
      </w:r>
    </w:p>
    <w:p>
      <w:pPr>
        <w:widowControl w:val="0"/>
        <w:adjustRightInd/>
        <w:snapToGrid/>
        <w:spacing w:after="0" w:line="360" w:lineRule="exact"/>
        <w:ind w:left="567"/>
        <w:jc w:val="both"/>
        <w:rPr>
          <w:rFonts w:ascii="宋体" w:hAnsi="宋体" w:eastAsia="宋体"/>
          <w:color w:val="auto"/>
          <w:sz w:val="21"/>
          <w:szCs w:val="21"/>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21" w:name="_Toc28736"/>
      <w:r>
        <w:rPr>
          <w:rFonts w:hint="eastAsia" w:ascii="宋体" w:hAnsi="宋体" w:eastAsia="宋体"/>
          <w:color w:val="auto"/>
          <w:sz w:val="21"/>
          <w:szCs w:val="21"/>
          <w:highlight w:val="none"/>
        </w:rPr>
        <w:t>6.关于联合体投标</w:t>
      </w:r>
      <w:bookmarkEnd w:id="21"/>
    </w:p>
    <w:p>
      <w:pPr>
        <w:pStyle w:val="26"/>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对接受联合体投标的项目：两个以上的自然人、法人或者其他组织可以组成一个联合体，以一个投标人的身份共同参加政府采购。</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以联合体形式参与项目的供应商在领购招标文件时，应提供所有联合体组成成员的营业执照复印件，并加盖各联合体组成成员的公章。</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联合体各方均应当符合《政府采购法》第二十二条规定的条件。</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采购人根据采购项目的特殊要求规定投标人特定条件的，联合体各方中至少应当有一方符合采购人规定的特定条件。</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联合体各方之间应当签订共同投标协议并</w:t>
      </w:r>
      <w:r>
        <w:rPr>
          <w:rFonts w:ascii="宋体" w:hAnsi="宋体" w:eastAsia="宋体"/>
          <w:color w:val="auto"/>
          <w:sz w:val="21"/>
          <w:szCs w:val="21"/>
          <w:highlight w:val="none"/>
        </w:rPr>
        <w:t>在投标文件内提交</w:t>
      </w:r>
      <w:r>
        <w:rPr>
          <w:rFonts w:hint="eastAsia" w:ascii="宋体" w:hAnsi="宋体" w:eastAsia="宋体"/>
          <w:color w:val="auto"/>
          <w:sz w:val="21"/>
          <w:szCs w:val="21"/>
          <w:highlight w:val="none"/>
        </w:rPr>
        <w:t>，明确约定联合体各方承担的工作和相应的责任。联合体各方签订共同投标协议后，不得再以自己名义单独在同一项目中投标，也不得组成新的联合体参加同一项目投标。</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供应商为联合体的，可以由联合体中的任意一方交纳保证金，其交纳的保证金对联合体各方均具有约束力。</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联合体中有同类资质的投标人按照联合体分工承担相同工作的，应当按照资质等级较低的供应商确定资质等级。</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以联合体形式参加政府采购活动，联合体各方均为中小企业的，联合体视同中小企业。其中，联合体各方均为小微企业的，联合体视同小微企业。</w:t>
      </w:r>
      <w:r>
        <w:rPr>
          <w:rFonts w:hint="eastAsia" w:ascii="宋体" w:hAnsi="宋体" w:eastAsia="宋体"/>
          <w:color w:val="auto"/>
          <w:sz w:val="21"/>
          <w:szCs w:val="21"/>
          <w:highlight w:val="none"/>
          <w:lang w:eastAsia="zh-CN"/>
        </w:rPr>
        <w:t>双方均应提供《中小企业声明函》。</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除联合体协议明确授权盖章单位外，联合体投标时投标文件中所有要求盖章的地方均须加盖联合体所有组成成员的公章，否则该处盖章无效。</w:t>
      </w:r>
    </w:p>
    <w:p>
      <w:pPr>
        <w:widowControl w:val="0"/>
        <w:numPr>
          <w:ilvl w:val="1"/>
          <w:numId w:val="4"/>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联合体进行评分时，业绩、奖项等的认定和评分根据共同投标协议约定的各方承担的工作和相应责任，确定一方打分，不累加打分；评审标准不明确或难以明确以哪一方计算评分情况时，则按主体方情况评分。</w:t>
      </w:r>
    </w:p>
    <w:p>
      <w:pPr>
        <w:widowControl w:val="0"/>
        <w:adjustRightInd/>
        <w:snapToGrid/>
        <w:spacing w:after="0" w:line="360" w:lineRule="exact"/>
        <w:ind w:left="567"/>
        <w:jc w:val="both"/>
        <w:rPr>
          <w:rFonts w:ascii="宋体" w:hAnsi="宋体" w:eastAsia="宋体"/>
          <w:color w:val="auto"/>
          <w:sz w:val="21"/>
          <w:szCs w:val="21"/>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22" w:name="_Toc9408"/>
      <w:r>
        <w:rPr>
          <w:rFonts w:hint="eastAsia" w:ascii="宋体" w:hAnsi="宋体" w:eastAsia="宋体"/>
          <w:color w:val="auto"/>
          <w:sz w:val="21"/>
          <w:szCs w:val="21"/>
          <w:highlight w:val="none"/>
        </w:rPr>
        <w:t>7.关于分支机构投标</w:t>
      </w:r>
      <w:bookmarkEnd w:id="22"/>
    </w:p>
    <w:p>
      <w:pPr>
        <w:pStyle w:val="26"/>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bookmarkStart w:id="23" w:name="EB389f116341dd4693875bc7987e7327f3"/>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对可接受</w:t>
      </w:r>
      <w:r>
        <w:rPr>
          <w:rFonts w:hint="eastAsia" w:ascii="宋体" w:hAnsi="宋体" w:eastAsia="宋体"/>
          <w:color w:val="auto"/>
          <w:sz w:val="21"/>
          <w:szCs w:val="21"/>
          <w:highlight w:val="none"/>
        </w:rPr>
        <w:t>分支机构</w:t>
      </w:r>
      <w:r>
        <w:rPr>
          <w:rFonts w:ascii="宋体" w:hAnsi="宋体" w:eastAsia="宋体"/>
          <w:color w:val="auto"/>
          <w:sz w:val="21"/>
          <w:szCs w:val="21"/>
          <w:highlight w:val="none"/>
        </w:rPr>
        <w:t>投标的项目，</w:t>
      </w:r>
      <w:r>
        <w:rPr>
          <w:rFonts w:hint="eastAsia" w:ascii="宋体" w:hAnsi="宋体" w:eastAsia="宋体"/>
          <w:color w:val="auto"/>
          <w:sz w:val="21"/>
          <w:szCs w:val="21"/>
          <w:highlight w:val="none"/>
        </w:rPr>
        <w:t>分支机构</w:t>
      </w:r>
      <w:r>
        <w:rPr>
          <w:rFonts w:ascii="宋体" w:hAnsi="宋体" w:eastAsia="宋体"/>
          <w:color w:val="auto"/>
          <w:sz w:val="21"/>
          <w:szCs w:val="21"/>
          <w:highlight w:val="none"/>
        </w:rPr>
        <w:t>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23"/>
    </w:p>
    <w:p>
      <w:pPr>
        <w:rPr>
          <w:color w:val="auto"/>
          <w:highlight w:val="none"/>
        </w:rPr>
      </w:pPr>
    </w:p>
    <w:p>
      <w:pPr>
        <w:pStyle w:val="4"/>
        <w:numPr>
          <w:ilvl w:val="0"/>
          <w:numId w:val="3"/>
        </w:numPr>
        <w:spacing w:before="0" w:after="0" w:line="480" w:lineRule="auto"/>
        <w:jc w:val="center"/>
        <w:rPr>
          <w:rFonts w:ascii="宋体" w:hAnsi="宋体" w:eastAsia="宋体"/>
          <w:color w:val="auto"/>
          <w:highlight w:val="none"/>
        </w:rPr>
      </w:pPr>
      <w:bookmarkStart w:id="24" w:name="_Toc13781"/>
      <w:r>
        <w:rPr>
          <w:rFonts w:hint="eastAsia" w:ascii="宋体" w:hAnsi="宋体" w:eastAsia="宋体"/>
          <w:color w:val="auto"/>
          <w:highlight w:val="none"/>
        </w:rPr>
        <w:t>招标文件</w:t>
      </w:r>
      <w:bookmarkEnd w:id="24"/>
    </w:p>
    <w:p>
      <w:pPr>
        <w:pStyle w:val="5"/>
        <w:widowControl w:val="0"/>
        <w:overflowPunct w:val="0"/>
        <w:spacing w:before="0" w:after="0" w:line="240" w:lineRule="auto"/>
        <w:rPr>
          <w:rFonts w:ascii="宋体" w:hAnsi="宋体" w:eastAsia="宋体"/>
          <w:color w:val="auto"/>
          <w:sz w:val="21"/>
          <w:szCs w:val="21"/>
          <w:highlight w:val="none"/>
        </w:rPr>
      </w:pPr>
      <w:bookmarkStart w:id="25" w:name="_Toc2761"/>
      <w:r>
        <w:rPr>
          <w:rFonts w:hint="eastAsia" w:ascii="宋体" w:hAnsi="宋体" w:eastAsia="宋体"/>
          <w:color w:val="auto"/>
          <w:sz w:val="21"/>
          <w:szCs w:val="21"/>
          <w:highlight w:val="none"/>
        </w:rPr>
        <w:t>8.招标文件的组成</w:t>
      </w:r>
      <w:bookmarkEnd w:id="25"/>
    </w:p>
    <w:p>
      <w:pPr>
        <w:pStyle w:val="26"/>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招标文件包括：</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）投标邀请书；</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rPr>
        <w:t>）投标资料表；</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rPr>
        <w:t>）用户需求书；</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4</w:t>
      </w:r>
      <w:r>
        <w:rPr>
          <w:rFonts w:hint="eastAsia" w:ascii="宋体" w:hAnsi="宋体" w:eastAsia="宋体"/>
          <w:color w:val="auto"/>
          <w:sz w:val="21"/>
          <w:szCs w:val="21"/>
          <w:highlight w:val="none"/>
        </w:rPr>
        <w:t>）投标人须知；</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5</w:t>
      </w:r>
      <w:r>
        <w:rPr>
          <w:rFonts w:hint="eastAsia" w:ascii="宋体" w:hAnsi="宋体" w:eastAsia="宋体"/>
          <w:color w:val="auto"/>
          <w:sz w:val="21"/>
          <w:szCs w:val="21"/>
          <w:highlight w:val="none"/>
        </w:rPr>
        <w:t>）拟签订的合同文本；</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6</w:t>
      </w:r>
      <w:r>
        <w:rPr>
          <w:rFonts w:hint="eastAsia" w:ascii="宋体" w:hAnsi="宋体" w:eastAsia="宋体"/>
          <w:color w:val="auto"/>
          <w:sz w:val="21"/>
          <w:szCs w:val="21"/>
          <w:highlight w:val="none"/>
        </w:rPr>
        <w:t>）投标文件格式；</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7</w:t>
      </w:r>
      <w:r>
        <w:rPr>
          <w:rFonts w:hint="eastAsia" w:ascii="宋体" w:hAnsi="宋体" w:eastAsia="宋体"/>
          <w:color w:val="auto"/>
          <w:sz w:val="21"/>
          <w:szCs w:val="21"/>
          <w:highlight w:val="none"/>
        </w:rPr>
        <w:t>）在招标过程中由采购代理机构发出的澄清更正文件等。</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26" w:name="_Toc30594"/>
      <w:r>
        <w:rPr>
          <w:rFonts w:hint="eastAsia" w:ascii="宋体" w:hAnsi="宋体" w:eastAsia="宋体"/>
          <w:color w:val="auto"/>
          <w:sz w:val="21"/>
          <w:szCs w:val="21"/>
          <w:highlight w:val="none"/>
        </w:rPr>
        <w:t>9.招标文件的澄清或修改</w:t>
      </w:r>
      <w:bookmarkEnd w:id="26"/>
    </w:p>
    <w:p>
      <w:pPr>
        <w:pStyle w:val="26"/>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采购人或者采购代理机构可以对已发出的招标文件、资格预审文件、投标邀请书进行必要的澄清或者修改。澄清或者修改的内容为招标文件、资格预审文件、投标邀请书的组成部分，</w:t>
      </w:r>
      <w:r>
        <w:rPr>
          <w:rFonts w:ascii="宋体" w:hAnsi="宋体" w:eastAsia="宋体"/>
          <w:color w:val="auto"/>
          <w:sz w:val="21"/>
          <w:szCs w:val="21"/>
          <w:highlight w:val="none"/>
        </w:rPr>
        <w:t>具有约束作用</w:t>
      </w:r>
      <w:r>
        <w:rPr>
          <w:rFonts w:hint="eastAsia" w:ascii="宋体" w:hAnsi="宋体" w:eastAsia="宋体"/>
          <w:color w:val="auto"/>
          <w:sz w:val="21"/>
          <w:szCs w:val="21"/>
          <w:highlight w:val="none"/>
        </w:rPr>
        <w:t>。</w:t>
      </w:r>
      <w:r>
        <w:rPr>
          <w:rFonts w:ascii="宋体" w:hAnsi="宋体" w:eastAsia="宋体"/>
          <w:color w:val="auto"/>
          <w:sz w:val="21"/>
          <w:szCs w:val="21"/>
          <w:highlight w:val="none"/>
        </w:rPr>
        <w:t>当招标文件、招标文件的澄清</w:t>
      </w:r>
      <w:r>
        <w:rPr>
          <w:rFonts w:hint="eastAsia" w:ascii="宋体" w:hAnsi="宋体" w:eastAsia="宋体"/>
          <w:color w:val="auto"/>
          <w:sz w:val="21"/>
          <w:szCs w:val="21"/>
          <w:highlight w:val="none"/>
        </w:rPr>
        <w:t>或</w:t>
      </w:r>
      <w:r>
        <w:rPr>
          <w:rFonts w:ascii="宋体" w:hAnsi="宋体" w:eastAsia="宋体"/>
          <w:color w:val="auto"/>
          <w:sz w:val="21"/>
          <w:szCs w:val="21"/>
          <w:highlight w:val="none"/>
        </w:rPr>
        <w:t>修改等在同一内容的表述上不一致时，以最后发出的书面文件</w:t>
      </w:r>
      <w:r>
        <w:rPr>
          <w:rFonts w:hint="eastAsia" w:ascii="宋体" w:hAnsi="宋体" w:eastAsia="宋体"/>
          <w:color w:val="auto"/>
          <w:sz w:val="21"/>
          <w:szCs w:val="21"/>
          <w:highlight w:val="none"/>
        </w:rPr>
        <w:t>及公告</w:t>
      </w:r>
      <w:r>
        <w:rPr>
          <w:rFonts w:ascii="宋体" w:hAnsi="宋体" w:eastAsia="宋体"/>
          <w:color w:val="auto"/>
          <w:sz w:val="21"/>
          <w:szCs w:val="21"/>
          <w:highlight w:val="none"/>
        </w:rPr>
        <w:t>为准。</w:t>
      </w:r>
    </w:p>
    <w:p>
      <w:pPr>
        <w:widowControl w:val="0"/>
        <w:numPr>
          <w:ilvl w:val="1"/>
          <w:numId w:val="4"/>
        </w:numPr>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招标期间，投标人有义务上网查看，公告一经上网发布，即视为送达。因投标人未及时上网查看而造成的所有后果，由投标人自行承担。</w:t>
      </w:r>
    </w:p>
    <w:p>
      <w:pPr>
        <w:widowControl w:val="0"/>
        <w:adjustRightInd/>
        <w:snapToGrid/>
        <w:spacing w:after="0" w:line="360" w:lineRule="exact"/>
        <w:ind w:left="567"/>
        <w:jc w:val="both"/>
        <w:rPr>
          <w:rFonts w:ascii="宋体" w:hAnsi="宋体" w:eastAsia="宋体"/>
          <w:color w:val="auto"/>
          <w:sz w:val="21"/>
          <w:szCs w:val="21"/>
          <w:highlight w:val="none"/>
        </w:rPr>
      </w:pPr>
    </w:p>
    <w:p>
      <w:pPr>
        <w:pStyle w:val="4"/>
        <w:numPr>
          <w:ilvl w:val="0"/>
          <w:numId w:val="3"/>
        </w:numPr>
        <w:spacing w:before="0" w:after="0" w:line="480" w:lineRule="auto"/>
        <w:jc w:val="center"/>
        <w:rPr>
          <w:rFonts w:ascii="宋体" w:hAnsi="宋体" w:eastAsia="宋体"/>
          <w:color w:val="auto"/>
          <w:highlight w:val="none"/>
        </w:rPr>
      </w:pPr>
      <w:bookmarkStart w:id="27" w:name="_Toc8709"/>
      <w:r>
        <w:rPr>
          <w:rFonts w:hint="eastAsia" w:ascii="宋体" w:hAnsi="宋体" w:eastAsia="宋体"/>
          <w:color w:val="auto"/>
          <w:highlight w:val="none"/>
        </w:rPr>
        <w:t>投标文件的编制</w:t>
      </w:r>
      <w:bookmarkEnd w:id="27"/>
    </w:p>
    <w:p>
      <w:pPr>
        <w:pStyle w:val="5"/>
        <w:widowControl w:val="0"/>
        <w:overflowPunct w:val="0"/>
        <w:spacing w:before="0" w:after="0" w:line="240" w:lineRule="auto"/>
        <w:rPr>
          <w:rFonts w:ascii="宋体" w:hAnsi="宋体" w:eastAsia="宋体"/>
          <w:color w:val="auto"/>
          <w:sz w:val="21"/>
          <w:szCs w:val="21"/>
          <w:highlight w:val="none"/>
        </w:rPr>
      </w:pPr>
      <w:bookmarkStart w:id="28" w:name="_Toc30245"/>
      <w:r>
        <w:rPr>
          <w:rFonts w:hint="eastAsia" w:ascii="宋体" w:hAnsi="宋体" w:eastAsia="宋体"/>
          <w:color w:val="auto"/>
          <w:sz w:val="21"/>
          <w:szCs w:val="21"/>
          <w:highlight w:val="none"/>
        </w:rPr>
        <w:t>10.投标文件的语言及度量衡单位</w:t>
      </w:r>
      <w:bookmarkEnd w:id="28"/>
    </w:p>
    <w:p>
      <w:pPr>
        <w:pStyle w:val="26"/>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提交的投标文件以及投标人与采购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除非招标文件在技术规格中另有规定，投标人在投标文件中及其与采购代理机构和采购人所有往来文件中的所有</w:t>
      </w:r>
      <w:r>
        <w:rPr>
          <w:rFonts w:ascii="宋体" w:hAnsi="宋体" w:eastAsia="宋体"/>
          <w:color w:val="auto"/>
          <w:sz w:val="21"/>
          <w:szCs w:val="21"/>
          <w:highlight w:val="none"/>
        </w:rPr>
        <w:t>计量单位</w:t>
      </w:r>
      <w:r>
        <w:rPr>
          <w:rFonts w:hint="eastAsia" w:ascii="宋体" w:hAnsi="宋体" w:eastAsia="宋体"/>
          <w:color w:val="auto"/>
          <w:sz w:val="21"/>
          <w:szCs w:val="21"/>
          <w:highlight w:val="none"/>
        </w:rPr>
        <w:t>均应采用中华人民共和国法定计量单位</w:t>
      </w:r>
      <w:r>
        <w:rPr>
          <w:rFonts w:ascii="宋体" w:hAnsi="宋体" w:eastAsia="宋体"/>
          <w:color w:val="auto"/>
          <w:sz w:val="21"/>
          <w:szCs w:val="21"/>
          <w:highlight w:val="none"/>
        </w:rPr>
        <w:t>。</w:t>
      </w:r>
    </w:p>
    <w:p>
      <w:pPr>
        <w:widowControl w:val="0"/>
        <w:adjustRightInd/>
        <w:snapToGrid/>
        <w:spacing w:after="0" w:line="360" w:lineRule="exact"/>
        <w:ind w:left="567"/>
        <w:jc w:val="both"/>
        <w:rPr>
          <w:rFonts w:ascii="宋体" w:hAnsi="宋体" w:eastAsia="宋体"/>
          <w:color w:val="auto"/>
          <w:sz w:val="21"/>
          <w:szCs w:val="21"/>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29" w:name="_Toc307934854"/>
      <w:bookmarkStart w:id="30" w:name="_Toc303084256"/>
      <w:bookmarkStart w:id="31" w:name="_Toc19904"/>
      <w:bookmarkStart w:id="32" w:name="_Toc28866"/>
      <w:bookmarkStart w:id="33" w:name="_Toc382049103"/>
      <w:r>
        <w:rPr>
          <w:rFonts w:hint="eastAsia" w:ascii="宋体" w:hAnsi="宋体" w:eastAsia="宋体"/>
          <w:color w:val="auto"/>
          <w:sz w:val="21"/>
          <w:szCs w:val="21"/>
          <w:highlight w:val="none"/>
        </w:rPr>
        <w:t>11.</w:t>
      </w:r>
      <w:r>
        <w:rPr>
          <w:rFonts w:ascii="宋体" w:hAnsi="宋体" w:eastAsia="宋体"/>
          <w:color w:val="auto"/>
          <w:sz w:val="21"/>
          <w:szCs w:val="21"/>
          <w:highlight w:val="none"/>
        </w:rPr>
        <w:t>投标文件的组成</w:t>
      </w:r>
      <w:bookmarkEnd w:id="29"/>
      <w:bookmarkEnd w:id="30"/>
      <w:bookmarkEnd w:id="31"/>
      <w:bookmarkEnd w:id="32"/>
      <w:bookmarkEnd w:id="33"/>
    </w:p>
    <w:p>
      <w:pPr>
        <w:pStyle w:val="26"/>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包括但不限于招标文件附件格式中要求提供的表格。</w:t>
      </w:r>
    </w:p>
    <w:p>
      <w:pPr>
        <w:widowControl w:val="0"/>
        <w:numPr>
          <w:ilvl w:val="1"/>
          <w:numId w:val="4"/>
        </w:numPr>
        <w:adjustRightInd/>
        <w:snapToGrid/>
        <w:spacing w:after="0" w:line="360" w:lineRule="exact"/>
        <w:jc w:val="both"/>
        <w:rPr>
          <w:color w:val="auto"/>
          <w:highlight w:val="none"/>
        </w:rPr>
      </w:pPr>
      <w:r>
        <w:rPr>
          <w:rFonts w:hint="eastAsia" w:ascii="宋体" w:hAnsi="宋体" w:eastAsia="宋体"/>
          <w:color w:val="auto"/>
          <w:sz w:val="21"/>
          <w:szCs w:val="21"/>
          <w:highlight w:val="none"/>
        </w:rPr>
        <w:t>上述文件须按顺序装订成册，并编制投标文件目录。除上述文件资料外投标人还须按投标人须知的要求制作“开标文件”。“开标文件”作为投标文件的一部分，但须单独密封。</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34" w:name="_Toc7724"/>
      <w:r>
        <w:rPr>
          <w:rFonts w:hint="eastAsia" w:ascii="宋体" w:hAnsi="宋体" w:eastAsia="宋体"/>
          <w:color w:val="auto"/>
          <w:sz w:val="21"/>
          <w:szCs w:val="21"/>
          <w:highlight w:val="none"/>
        </w:rPr>
        <w:t>12.投标文件编制</w:t>
      </w:r>
      <w:bookmarkEnd w:id="34"/>
    </w:p>
    <w:p>
      <w:pPr>
        <w:pStyle w:val="26"/>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bookmarkStart w:id="35" w:name="_Toc303084258"/>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投标人应按招标文件的规定以及附件要求的内容和格式完整地填写</w:t>
      </w:r>
      <w:r>
        <w:rPr>
          <w:rFonts w:ascii="宋体" w:hAnsi="宋体" w:eastAsia="宋体"/>
          <w:color w:val="auto"/>
          <w:sz w:val="21"/>
          <w:szCs w:val="21"/>
          <w:highlight w:val="none"/>
        </w:rPr>
        <w:t>（表格可以按同样格式扩展）</w:t>
      </w:r>
      <w:r>
        <w:rPr>
          <w:rFonts w:hint="eastAsia" w:ascii="宋体" w:hAnsi="宋体" w:eastAsia="宋体"/>
          <w:color w:val="auto"/>
          <w:sz w:val="21"/>
          <w:szCs w:val="21"/>
          <w:highlight w:val="none"/>
        </w:rPr>
        <w:t>和提供资料，投标人必须对投标文件所提供的全部材料的真实性承担法律责任，并无条件接受采购人或采购代理机构对其中任何资料进行核实的要求。</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因投标文件编制存在歧义对投标人产生负面影响的，投标人自行承担后果。</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投标单位名称与投标人公章不一致，若投标单位名称已进行变更，应在投标文件中提供相应的证明材料并加盖公章，否则投标文件无效。</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投标文件密封、标记及内容与本项目采购信息不符，导致无法分辨所投项目为本项目的，投标文件无效。</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投标人须客观撰写投标人简介（格式自理，并提供相关证明）以及所投的产品或服务说明。</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投标文件若出现以下内容，经评标委员会认定有可能间接影响评审秩序，作废标处理。</w:t>
      </w:r>
    </w:p>
    <w:p>
      <w:pPr>
        <w:pStyle w:val="26"/>
        <w:widowControl w:val="0"/>
        <w:numPr>
          <w:ilvl w:val="0"/>
          <w:numId w:val="5"/>
        </w:numPr>
        <w:adjustRightInd/>
        <w:snapToGrid/>
        <w:spacing w:after="0" w:line="360" w:lineRule="exact"/>
        <w:ind w:firstLineChars="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投标文件内出现无官方证明文件的行业地域排名或</w:t>
      </w:r>
      <w:r>
        <w:rPr>
          <w:rFonts w:ascii="宋体" w:hAnsi="宋体" w:eastAsia="宋体"/>
          <w:color w:val="auto"/>
          <w:sz w:val="21"/>
          <w:szCs w:val="21"/>
          <w:highlight w:val="none"/>
        </w:rPr>
        <w:t>使用“国家级”、“最高级”、“最佳”等用语</w:t>
      </w:r>
      <w:r>
        <w:rPr>
          <w:rFonts w:hint="eastAsia" w:ascii="宋体" w:hAnsi="宋体" w:eastAsia="宋体"/>
          <w:color w:val="auto"/>
          <w:sz w:val="21"/>
          <w:szCs w:val="21"/>
          <w:highlight w:val="none"/>
        </w:rPr>
        <w:t>字眼的。</w:t>
      </w:r>
    </w:p>
    <w:p>
      <w:pPr>
        <w:pStyle w:val="26"/>
        <w:widowControl w:val="0"/>
        <w:numPr>
          <w:ilvl w:val="0"/>
          <w:numId w:val="5"/>
        </w:numPr>
        <w:adjustRightInd/>
        <w:snapToGrid/>
        <w:spacing w:after="0" w:line="360" w:lineRule="exact"/>
        <w:ind w:firstLineChars="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投标文件内出现恶意诋毁、</w:t>
      </w:r>
      <w:r>
        <w:rPr>
          <w:rFonts w:ascii="宋体" w:hAnsi="宋体" w:eastAsia="宋体"/>
          <w:color w:val="auto"/>
          <w:sz w:val="21"/>
          <w:szCs w:val="21"/>
          <w:highlight w:val="none"/>
        </w:rPr>
        <w:t>贬低其他生产经营者的商品或者服务</w:t>
      </w:r>
      <w:r>
        <w:rPr>
          <w:rFonts w:hint="eastAsia" w:ascii="宋体" w:hAnsi="宋体" w:eastAsia="宋体"/>
          <w:color w:val="auto"/>
          <w:sz w:val="21"/>
          <w:szCs w:val="21"/>
          <w:highlight w:val="none"/>
        </w:rPr>
        <w:t>的内容。</w:t>
      </w:r>
    </w:p>
    <w:bookmarkEnd w:id="35"/>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36" w:name="_Toc28060"/>
      <w:r>
        <w:rPr>
          <w:rFonts w:hint="eastAsia" w:ascii="宋体" w:hAnsi="宋体" w:eastAsia="宋体"/>
          <w:color w:val="auto"/>
          <w:sz w:val="21"/>
          <w:szCs w:val="21"/>
          <w:highlight w:val="none"/>
        </w:rPr>
        <w:t>13.投标报价说明</w:t>
      </w:r>
      <w:bookmarkEnd w:id="36"/>
    </w:p>
    <w:p>
      <w:pPr>
        <w:pStyle w:val="26"/>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本次招标，投标人应按用户需求中的要求进行投标报价，少报无效。</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投标人所提供的货物或服务均以人民币</w:t>
      </w:r>
      <w:r>
        <w:rPr>
          <w:rFonts w:hint="eastAsia" w:ascii="宋体" w:hAnsi="宋体" w:eastAsia="宋体"/>
          <w:color w:val="auto"/>
          <w:sz w:val="21"/>
          <w:szCs w:val="21"/>
          <w:highlight w:val="none"/>
          <w:lang w:eastAsia="zh-CN"/>
        </w:rPr>
        <w:t>（或相关费率）</w:t>
      </w:r>
      <w:r>
        <w:rPr>
          <w:rFonts w:hint="eastAsia" w:ascii="宋体" w:hAnsi="宋体" w:eastAsia="宋体"/>
          <w:color w:val="auto"/>
          <w:sz w:val="21"/>
          <w:szCs w:val="21"/>
          <w:highlight w:val="none"/>
        </w:rPr>
        <w:t>报价。</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投标报价应包含完成本次招标所有服务内容的费用，包含各种税务费及合同实施过程中的全部费用和售后服务费等。</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中标后开出的所有发票必须与中标人的名称一致。</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37" w:name="_Toc10722"/>
      <w:r>
        <w:rPr>
          <w:rFonts w:hint="eastAsia" w:ascii="宋体" w:hAnsi="宋体" w:eastAsia="宋体"/>
          <w:color w:val="auto"/>
          <w:sz w:val="21"/>
          <w:szCs w:val="21"/>
          <w:highlight w:val="none"/>
        </w:rPr>
        <w:t>14.投标人所提供的服务或货物的证明文件</w:t>
      </w:r>
      <w:bookmarkEnd w:id="37"/>
    </w:p>
    <w:p>
      <w:pPr>
        <w:pStyle w:val="26"/>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bookmarkStart w:id="38" w:name="_Hlt107925638"/>
      <w:bookmarkEnd w:id="38"/>
      <w:bookmarkStart w:id="39" w:name="_Hlt107925668"/>
      <w:bookmarkEnd w:id="39"/>
      <w:r>
        <w:rPr>
          <w:rFonts w:hint="eastAsia" w:ascii="宋体" w:hAnsi="宋体" w:eastAsia="宋体"/>
          <w:color w:val="auto"/>
          <w:sz w:val="21"/>
          <w:szCs w:val="21"/>
          <w:highlight w:val="none"/>
        </w:rPr>
        <w:t>证明服务或货物的文件，它可以是文字资料、图纸和数据包括但不限于：服务主要内容、标准、质量、人员资质、计划安排、报告审核等的详细说明；对招标文件第</w:t>
      </w:r>
      <w:r>
        <w:rPr>
          <w:rFonts w:hint="eastAsia" w:ascii="宋体" w:hAnsi="宋体" w:eastAsia="宋体"/>
          <w:color w:val="auto"/>
          <w:sz w:val="21"/>
          <w:szCs w:val="21"/>
          <w:highlight w:val="none"/>
          <w:lang w:eastAsia="zh-CN"/>
        </w:rPr>
        <w:t>三</w:t>
      </w:r>
      <w:r>
        <w:rPr>
          <w:rFonts w:hint="eastAsia" w:ascii="宋体" w:hAnsi="宋体" w:eastAsia="宋体"/>
          <w:color w:val="auto"/>
          <w:sz w:val="21"/>
          <w:szCs w:val="21"/>
          <w:highlight w:val="none"/>
        </w:rPr>
        <w:t>部分《用户需求书》中规定的要求进行详细应答和说明。</w:t>
      </w:r>
    </w:p>
    <w:p>
      <w:pPr>
        <w:pStyle w:val="26"/>
        <w:widowControl w:val="0"/>
        <w:adjustRightInd/>
        <w:snapToGrid/>
        <w:spacing w:after="0" w:line="360" w:lineRule="exact"/>
        <w:ind w:left="425" w:firstLine="0" w:firstLineChars="0"/>
        <w:jc w:val="both"/>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40" w:name="_Toc28478"/>
      <w:r>
        <w:rPr>
          <w:rFonts w:hint="eastAsia" w:ascii="宋体" w:hAnsi="宋体" w:eastAsia="宋体"/>
          <w:color w:val="auto"/>
          <w:sz w:val="21"/>
          <w:szCs w:val="21"/>
          <w:highlight w:val="none"/>
        </w:rPr>
        <w:t>15.★投标有效期</w:t>
      </w:r>
      <w:bookmarkEnd w:id="40"/>
    </w:p>
    <w:p>
      <w:pPr>
        <w:pStyle w:val="26"/>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投标文件应根据投标人须知的规定在投标截止日后的90天内保持有效。</w:t>
      </w:r>
    </w:p>
    <w:p>
      <w:pPr>
        <w:widowControl w:val="0"/>
        <w:adjustRightInd/>
        <w:snapToGrid/>
        <w:spacing w:after="0" w:line="360" w:lineRule="exact"/>
        <w:ind w:left="567"/>
        <w:jc w:val="both"/>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41" w:name="_Toc718"/>
      <w:r>
        <w:rPr>
          <w:rFonts w:hint="eastAsia" w:ascii="宋体" w:hAnsi="宋体" w:eastAsia="宋体"/>
          <w:color w:val="auto"/>
          <w:sz w:val="21"/>
          <w:szCs w:val="21"/>
          <w:highlight w:val="none"/>
        </w:rPr>
        <w:t>16.★投标保证金</w:t>
      </w:r>
      <w:bookmarkEnd w:id="41"/>
    </w:p>
    <w:p>
      <w:pPr>
        <w:pStyle w:val="26"/>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bookmarkStart w:id="42" w:name="_Ref179619405"/>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投标人应按投标资料表中规定数额及法律规定的时间按相应包号保证金金额要求一次性提交投标保证金，以多次汇入达到招标文件要求金额的投标保证金无效。</w:t>
      </w:r>
      <w:bookmarkEnd w:id="42"/>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投标保证金金额与招标文件要求金额保持一致（详见投标资料表）。</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投标保证金有效期与投标有效期保持一致。</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投标人应按要求提交投标保证金，投标人必须采用银行转账、电汇或担保函形式一次性缴交招标文件规定数额的投标保证金，投标人与交款人名称必须一致，非投标人缴纳的投标保证金无效。</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采用银行转账、电汇方式提交的,付至采购代理机构指定账户上。 (详见投标人资料表)</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担保。是指由担保机构为供应商交纳投标保证金向采购人或者采购代理机构提供的保证担保。供应商在投标有效期内撤回投标文件或中标后不签订采购合同的，由担保机构按照担保函的约定履行支付投标保证金的责任。</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采用担保函提交的，应符合下列规定：</w:t>
      </w:r>
    </w:p>
    <w:p>
      <w:pPr>
        <w:spacing w:after="0"/>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①投标担保函有效期应与投标有效期一致；</w:t>
      </w:r>
    </w:p>
    <w:p>
      <w:pPr>
        <w:spacing w:after="0"/>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②投标担保金额应与本项目的投标保证金一致；</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保证金不接受现金方式（包括以存现方式）提交，未按要求提交投标保证金的将导致废标。</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未中标的投标人的保证金应当在中标通知书发出后5个工作日内退还，中标投标人的保证金应当在采购合同签订后5个工作日内退还。</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为方便退还未中标的投保人的保证金，投标人应制作《投标保证金汇入情况说明》随开标文件一并递交。</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有下列情形之一的，投标保证金将不予退还：</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（1）投标人在提交响应文件截止时间后撤回响应文件的；</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（2）投标人在响应文件中提供虚假材料的；</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（3）除因不可抗力或谈判文件、询价通知书认可的情形以外，中标单位不与采购人签订合同的；</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（4）投标人与采购人、其他供应商或者采购代理机构恶意串通的；</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（5）</w:t>
      </w:r>
      <w:r>
        <w:rPr>
          <w:rFonts w:hint="eastAsia" w:ascii="宋体" w:hAnsi="宋体" w:eastAsia="宋体"/>
          <w:color w:val="auto"/>
          <w:sz w:val="21"/>
          <w:szCs w:val="21"/>
          <w:highlight w:val="none"/>
          <w:lang w:eastAsia="zh-CN"/>
        </w:rPr>
        <w:t>招标文件</w:t>
      </w:r>
      <w:r>
        <w:rPr>
          <w:rFonts w:hint="eastAsia" w:ascii="宋体" w:hAnsi="宋体" w:eastAsia="宋体"/>
          <w:color w:val="auto"/>
          <w:sz w:val="21"/>
          <w:szCs w:val="21"/>
          <w:highlight w:val="none"/>
        </w:rPr>
        <w:t>规定的其他情形。</w:t>
      </w:r>
      <w:r>
        <w:rPr>
          <w:rFonts w:ascii="宋体" w:hAnsi="宋体" w:eastAsia="宋体"/>
          <w:color w:val="auto"/>
          <w:sz w:val="21"/>
          <w:szCs w:val="21"/>
          <w:highlight w:val="none"/>
        </w:rPr>
        <w:t xml:space="preserve"> </w:t>
      </w:r>
    </w:p>
    <w:p>
      <w:pPr>
        <w:rPr>
          <w:color w:val="auto"/>
          <w:highlight w:val="none"/>
        </w:rPr>
      </w:pPr>
    </w:p>
    <w:p>
      <w:pPr>
        <w:pStyle w:val="4"/>
        <w:numPr>
          <w:ilvl w:val="0"/>
          <w:numId w:val="3"/>
        </w:numPr>
        <w:spacing w:before="0" w:after="0" w:line="480" w:lineRule="auto"/>
        <w:jc w:val="center"/>
        <w:rPr>
          <w:rFonts w:ascii="宋体" w:hAnsi="宋体" w:eastAsia="宋体"/>
          <w:color w:val="auto"/>
          <w:highlight w:val="none"/>
        </w:rPr>
      </w:pPr>
      <w:bookmarkStart w:id="43" w:name="_Toc26276"/>
      <w:r>
        <w:rPr>
          <w:rFonts w:hint="eastAsia" w:ascii="宋体" w:hAnsi="宋体" w:eastAsia="宋体"/>
          <w:color w:val="auto"/>
          <w:highlight w:val="none"/>
        </w:rPr>
        <w:t>投标文件的递交</w:t>
      </w:r>
      <w:bookmarkEnd w:id="43"/>
    </w:p>
    <w:p>
      <w:pPr>
        <w:pStyle w:val="5"/>
        <w:widowControl w:val="0"/>
        <w:overflowPunct w:val="0"/>
        <w:spacing w:before="0" w:after="0" w:line="240" w:lineRule="auto"/>
        <w:rPr>
          <w:rFonts w:ascii="宋体" w:hAnsi="宋体" w:eastAsia="宋体"/>
          <w:color w:val="auto"/>
          <w:sz w:val="21"/>
          <w:szCs w:val="21"/>
          <w:highlight w:val="none"/>
        </w:rPr>
      </w:pPr>
      <w:bookmarkStart w:id="44" w:name="_Toc303084264"/>
      <w:bookmarkStart w:id="45" w:name="_Toc382049111"/>
      <w:bookmarkStart w:id="46" w:name="_Toc17218"/>
      <w:bookmarkStart w:id="47" w:name="_Toc24997"/>
      <w:r>
        <w:rPr>
          <w:rFonts w:hint="eastAsia" w:ascii="宋体" w:hAnsi="宋体" w:eastAsia="宋体"/>
          <w:color w:val="auto"/>
          <w:sz w:val="21"/>
          <w:szCs w:val="21"/>
          <w:highlight w:val="none"/>
        </w:rPr>
        <w:t>17.</w:t>
      </w:r>
      <w:r>
        <w:rPr>
          <w:rFonts w:ascii="宋体" w:hAnsi="宋体" w:eastAsia="宋体"/>
          <w:color w:val="auto"/>
          <w:sz w:val="21"/>
          <w:szCs w:val="21"/>
          <w:highlight w:val="none"/>
        </w:rPr>
        <w:t>投标文件的</w:t>
      </w:r>
      <w:r>
        <w:rPr>
          <w:rFonts w:hint="eastAsia" w:ascii="宋体" w:hAnsi="宋体" w:eastAsia="宋体"/>
          <w:color w:val="auto"/>
          <w:sz w:val="21"/>
          <w:szCs w:val="21"/>
          <w:highlight w:val="none"/>
        </w:rPr>
        <w:t>装订，签署，</w:t>
      </w:r>
      <w:r>
        <w:rPr>
          <w:rFonts w:ascii="宋体" w:hAnsi="宋体" w:eastAsia="宋体"/>
          <w:color w:val="auto"/>
          <w:sz w:val="21"/>
          <w:szCs w:val="21"/>
          <w:highlight w:val="none"/>
        </w:rPr>
        <w:t>密封和标记</w:t>
      </w:r>
      <w:bookmarkEnd w:id="44"/>
      <w:bookmarkEnd w:id="45"/>
      <w:bookmarkEnd w:id="46"/>
      <w:bookmarkEnd w:id="47"/>
    </w:p>
    <w:p>
      <w:pPr>
        <w:pStyle w:val="26"/>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投标人应当对投标文件进行装订，对未经装订的投标文件可能发生的文件缺</w:t>
      </w:r>
      <w:r>
        <w:rPr>
          <w:rFonts w:hint="eastAsia" w:ascii="宋体" w:hAnsi="宋体" w:eastAsia="宋体"/>
          <w:color w:val="auto"/>
          <w:sz w:val="21"/>
          <w:szCs w:val="21"/>
          <w:highlight w:val="none"/>
          <w:lang w:eastAsia="zh-CN"/>
        </w:rPr>
        <w:t>损</w:t>
      </w:r>
      <w:r>
        <w:rPr>
          <w:rFonts w:ascii="宋体" w:hAnsi="宋体" w:eastAsia="宋体"/>
          <w:color w:val="auto"/>
          <w:sz w:val="21"/>
          <w:szCs w:val="21"/>
          <w:highlight w:val="none"/>
        </w:rPr>
        <w:t>，由此产生的后果由投标人承担</w:t>
      </w:r>
      <w:r>
        <w:rPr>
          <w:rFonts w:hint="eastAsia" w:ascii="宋体" w:hAnsi="宋体" w:eastAsia="宋体"/>
          <w:color w:val="auto"/>
          <w:sz w:val="21"/>
          <w:szCs w:val="21"/>
          <w:highlight w:val="none"/>
          <w:lang w:eastAsia="zh-CN"/>
        </w:rPr>
        <w:t>；投标文件未装订成册，投标文件无效</w:t>
      </w:r>
      <w:r>
        <w:rPr>
          <w:rFonts w:ascii="宋体" w:hAnsi="宋体" w:eastAsia="宋体"/>
          <w:color w:val="auto"/>
          <w:sz w:val="21"/>
          <w:szCs w:val="21"/>
          <w:highlight w:val="none"/>
        </w:rPr>
        <w:t>。</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投标文件</w:t>
      </w:r>
      <w:r>
        <w:rPr>
          <w:rFonts w:hint="eastAsia" w:ascii="宋体" w:hAnsi="宋体" w:eastAsia="宋体"/>
          <w:color w:val="auto"/>
          <w:sz w:val="21"/>
          <w:szCs w:val="21"/>
          <w:highlight w:val="none"/>
        </w:rPr>
        <w:t>正本均须用不褪色墨水书写或打印。投标文件的副本可采用投标文件的正本复印件，每套</w:t>
      </w:r>
      <w:r>
        <w:rPr>
          <w:rFonts w:ascii="宋体" w:hAnsi="宋体" w:eastAsia="宋体"/>
          <w:color w:val="auto"/>
          <w:sz w:val="21"/>
          <w:szCs w:val="21"/>
          <w:highlight w:val="none"/>
        </w:rPr>
        <w:t>投标文件</w:t>
      </w:r>
      <w:r>
        <w:rPr>
          <w:rFonts w:hint="eastAsia" w:ascii="宋体" w:hAnsi="宋体" w:eastAsia="宋体"/>
          <w:color w:val="auto"/>
          <w:sz w:val="21"/>
          <w:szCs w:val="21"/>
          <w:highlight w:val="none"/>
        </w:rPr>
        <w:t>应当标</w:t>
      </w:r>
      <w:r>
        <w:rPr>
          <w:rFonts w:ascii="宋体" w:hAnsi="宋体" w:eastAsia="宋体"/>
          <w:color w:val="auto"/>
          <w:sz w:val="21"/>
          <w:szCs w:val="21"/>
          <w:highlight w:val="none"/>
        </w:rPr>
        <w:t>明“正本”</w:t>
      </w:r>
      <w:r>
        <w:rPr>
          <w:rFonts w:hint="eastAsia" w:ascii="宋体" w:hAnsi="宋体" w:eastAsia="宋体"/>
          <w:color w:val="auto"/>
          <w:sz w:val="21"/>
          <w:szCs w:val="21"/>
          <w:highlight w:val="none"/>
        </w:rPr>
        <w:t>、</w:t>
      </w:r>
      <w:r>
        <w:rPr>
          <w:rFonts w:ascii="宋体" w:hAnsi="宋体" w:eastAsia="宋体"/>
          <w:color w:val="auto"/>
          <w:sz w:val="21"/>
          <w:szCs w:val="21"/>
          <w:highlight w:val="none"/>
        </w:rPr>
        <w:t>“副本”</w:t>
      </w:r>
      <w:r>
        <w:rPr>
          <w:rFonts w:hint="eastAsia" w:ascii="宋体" w:hAnsi="宋体" w:eastAsia="宋体"/>
          <w:color w:val="auto"/>
          <w:sz w:val="21"/>
          <w:szCs w:val="21"/>
          <w:highlight w:val="none"/>
        </w:rPr>
        <w:t>的字样</w:t>
      </w:r>
      <w:r>
        <w:rPr>
          <w:rFonts w:ascii="宋体" w:hAnsi="宋体" w:eastAsia="宋体"/>
          <w:color w:val="auto"/>
          <w:sz w:val="21"/>
          <w:szCs w:val="21"/>
          <w:highlight w:val="none"/>
        </w:rPr>
        <w:t>。</w:t>
      </w:r>
      <w:r>
        <w:rPr>
          <w:rFonts w:hint="eastAsia" w:ascii="宋体" w:hAnsi="宋体" w:eastAsia="宋体"/>
          <w:color w:val="auto"/>
          <w:sz w:val="21"/>
          <w:szCs w:val="21"/>
          <w:highlight w:val="none"/>
        </w:rPr>
        <w:t>投标文件的【正本】及所有【副本】的封面及骑缝均须加盖投标人公章（文件每页盖章等同于盖骑缝章）。若</w:t>
      </w:r>
      <w:r>
        <w:rPr>
          <w:rFonts w:ascii="宋体" w:hAnsi="宋体" w:eastAsia="宋体"/>
          <w:color w:val="auto"/>
          <w:sz w:val="21"/>
          <w:szCs w:val="21"/>
          <w:highlight w:val="none"/>
        </w:rPr>
        <w:t>正本</w:t>
      </w:r>
      <w:r>
        <w:rPr>
          <w:rFonts w:hint="eastAsia" w:ascii="宋体" w:hAnsi="宋体" w:eastAsia="宋体"/>
          <w:color w:val="auto"/>
          <w:sz w:val="21"/>
          <w:szCs w:val="21"/>
          <w:highlight w:val="none"/>
        </w:rPr>
        <w:t>与</w:t>
      </w:r>
      <w:r>
        <w:rPr>
          <w:rFonts w:ascii="宋体" w:hAnsi="宋体" w:eastAsia="宋体"/>
          <w:color w:val="auto"/>
          <w:sz w:val="21"/>
          <w:szCs w:val="21"/>
          <w:highlight w:val="none"/>
        </w:rPr>
        <w:t>副本</w:t>
      </w:r>
      <w:r>
        <w:rPr>
          <w:rFonts w:hint="eastAsia" w:ascii="宋体" w:hAnsi="宋体" w:eastAsia="宋体"/>
          <w:color w:val="auto"/>
          <w:sz w:val="21"/>
          <w:szCs w:val="21"/>
          <w:highlight w:val="none"/>
        </w:rPr>
        <w:t>不符，以</w:t>
      </w:r>
      <w:r>
        <w:rPr>
          <w:rFonts w:ascii="宋体" w:hAnsi="宋体" w:eastAsia="宋体"/>
          <w:color w:val="auto"/>
          <w:sz w:val="21"/>
          <w:szCs w:val="21"/>
          <w:highlight w:val="none"/>
        </w:rPr>
        <w:t>正本为准。</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联合体投标文件的【正本】及【副本】的封面及骑缝均须加盖所有联合体组成成员的公章。（文件每页盖章等同于盖骑缝章）</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电子文件内容包括：由投标人自行制作的与正本文件一致的所有文件。电子文件</w:t>
      </w:r>
      <w:r>
        <w:rPr>
          <w:rFonts w:hint="eastAsia" w:ascii="宋体" w:hAnsi="宋体" w:eastAsia="宋体"/>
          <w:color w:val="auto"/>
          <w:sz w:val="21"/>
          <w:szCs w:val="21"/>
          <w:highlight w:val="none"/>
        </w:rPr>
        <w:t>由</w:t>
      </w:r>
      <w:r>
        <w:rPr>
          <w:rFonts w:ascii="宋体" w:hAnsi="宋体" w:eastAsia="宋体"/>
          <w:color w:val="auto"/>
          <w:sz w:val="21"/>
          <w:szCs w:val="21"/>
          <w:highlight w:val="none"/>
        </w:rPr>
        <w:t>光盘</w:t>
      </w:r>
      <w:r>
        <w:rPr>
          <w:rFonts w:hint="eastAsia" w:ascii="宋体" w:hAnsi="宋体" w:eastAsia="宋体"/>
          <w:color w:val="auto"/>
          <w:sz w:val="21"/>
          <w:szCs w:val="21"/>
          <w:highlight w:val="none"/>
        </w:rPr>
        <w:t>或U盘</w:t>
      </w:r>
      <w:r>
        <w:rPr>
          <w:rFonts w:ascii="宋体" w:hAnsi="宋体" w:eastAsia="宋体"/>
          <w:color w:val="auto"/>
          <w:sz w:val="21"/>
          <w:szCs w:val="21"/>
          <w:highlight w:val="none"/>
        </w:rPr>
        <w:t>储存</w:t>
      </w:r>
      <w:r>
        <w:rPr>
          <w:rFonts w:hint="eastAsia" w:ascii="宋体" w:hAnsi="宋体" w:eastAsia="宋体"/>
          <w:color w:val="auto"/>
          <w:sz w:val="21"/>
          <w:szCs w:val="21"/>
          <w:highlight w:val="none"/>
        </w:rPr>
        <w:t>，并注明投标人名称及项目名称、</w:t>
      </w:r>
      <w:r>
        <w:rPr>
          <w:rFonts w:hint="eastAsia" w:ascii="宋体" w:hAnsi="宋体" w:eastAsia="宋体"/>
          <w:color w:val="auto"/>
          <w:sz w:val="21"/>
          <w:szCs w:val="21"/>
          <w:highlight w:val="none"/>
          <w:lang w:eastAsia="zh-CN"/>
        </w:rPr>
        <w:t>采购项目编号</w:t>
      </w:r>
      <w:r>
        <w:rPr>
          <w:rFonts w:hint="eastAsia" w:ascii="宋体" w:hAnsi="宋体" w:eastAsia="宋体"/>
          <w:color w:val="auto"/>
          <w:sz w:val="21"/>
          <w:szCs w:val="21"/>
          <w:highlight w:val="none"/>
        </w:rPr>
        <w:t>，随投标文件一同密封提交。</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除投标人对错误处修改外，全套投标文件应无涂改或行间插字和增删。如有修改，修改处</w:t>
      </w:r>
      <w:r>
        <w:rPr>
          <w:rFonts w:hint="eastAsia" w:ascii="宋体" w:hAnsi="宋体" w:eastAsia="宋体"/>
          <w:color w:val="auto"/>
          <w:sz w:val="21"/>
          <w:szCs w:val="21"/>
          <w:highlight w:val="none"/>
        </w:rPr>
        <w:t>须由法定代表人或其正式授权代表在旁边签字</w:t>
      </w:r>
      <w:r>
        <w:rPr>
          <w:rFonts w:hint="eastAsia" w:ascii="宋体" w:hAnsi="宋体" w:eastAsia="宋体"/>
          <w:color w:val="auto"/>
          <w:sz w:val="21"/>
          <w:szCs w:val="21"/>
          <w:highlight w:val="none"/>
          <w:lang w:eastAsia="zh-CN"/>
        </w:rPr>
        <w:t>及</w:t>
      </w:r>
      <w:r>
        <w:rPr>
          <w:rFonts w:hint="eastAsia" w:ascii="宋体" w:hAnsi="宋体" w:eastAsia="宋体"/>
          <w:color w:val="auto"/>
          <w:sz w:val="21"/>
          <w:szCs w:val="21"/>
          <w:highlight w:val="none"/>
        </w:rPr>
        <w:t>盖章</w:t>
      </w:r>
      <w:r>
        <w:rPr>
          <w:rFonts w:ascii="宋体" w:hAnsi="宋体" w:eastAsia="宋体"/>
          <w:color w:val="auto"/>
          <w:sz w:val="21"/>
          <w:szCs w:val="21"/>
          <w:highlight w:val="none"/>
        </w:rPr>
        <w:t>。</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投标人应将投标文件进行非透明的封装，以防止投标文件内容的泄露。采购代理机构将拒绝接收采用透明包装进行密封的投标文件。</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密封破损导致投标文件内容直接或间接泄露的投标文件，采购代理机构将拒绝接收。</w:t>
      </w:r>
    </w:p>
    <w:p>
      <w:pPr>
        <w:widowControl w:val="0"/>
        <w:numPr>
          <w:ilvl w:val="1"/>
          <w:numId w:val="4"/>
        </w:numPr>
        <w:adjustRightInd/>
        <w:snapToGrid/>
        <w:spacing w:after="0" w:line="360" w:lineRule="exact"/>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为方便开标唱标，投标人应将开标一览表和授权委托书单独密封提交，并在信封上标明“开标文件”字样。开标文件内还须包括并不限于：投标保证金支付凭证银行汇款底单（复印件加盖公章，原件随身携带，以备查核）和投标保证金汇入情况说明（加盖公章）。投标人的法定代表人参加投标时，须开具法定代表人证明书，按上述要求与开标一览表一并密封提交。“开标文件”份数及签章等要求与投标文件正本相同（1份）。</w:t>
      </w:r>
    </w:p>
    <w:p>
      <w:pPr>
        <w:widowControl w:val="0"/>
        <w:numPr>
          <w:ilvl w:val="1"/>
          <w:numId w:val="4"/>
        </w:numPr>
        <w:adjustRightInd/>
        <w:snapToGrid/>
        <w:spacing w:after="0" w:line="360" w:lineRule="exact"/>
        <w:jc w:val="both"/>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未单独提交开标文件的投标人投标文件不进行唱标</w:t>
      </w:r>
      <w:r>
        <w:rPr>
          <w:rFonts w:hint="eastAsia" w:ascii="宋体" w:hAnsi="宋体" w:eastAsia="宋体"/>
          <w:b/>
          <w:bCs/>
          <w:color w:val="auto"/>
          <w:sz w:val="21"/>
          <w:szCs w:val="21"/>
          <w:highlight w:val="none"/>
          <w:lang w:eastAsia="zh-CN"/>
        </w:rPr>
        <w:t>，投标文件作无效处理</w:t>
      </w:r>
      <w:r>
        <w:rPr>
          <w:rFonts w:hint="eastAsia" w:ascii="宋体" w:hAnsi="宋体" w:eastAsia="宋体"/>
          <w:b/>
          <w:bCs/>
          <w:color w:val="auto"/>
          <w:sz w:val="21"/>
          <w:szCs w:val="21"/>
          <w:highlight w:val="none"/>
        </w:rPr>
        <w:t>。</w:t>
      </w:r>
    </w:p>
    <w:p>
      <w:pPr>
        <w:widowControl w:val="0"/>
        <w:numPr>
          <w:ilvl w:val="1"/>
          <w:numId w:val="4"/>
        </w:numPr>
        <w:adjustRightInd/>
        <w:snapToGrid/>
        <w:spacing w:after="0" w:line="360" w:lineRule="exact"/>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所有的信封均应注明： </w:t>
      </w:r>
    </w:p>
    <w:p>
      <w:pPr>
        <w:widowControl w:val="0"/>
        <w:numPr>
          <w:ilvl w:val="0"/>
          <w:numId w:val="6"/>
        </w:numPr>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收件人：</w:t>
      </w:r>
      <w:r>
        <w:rPr>
          <w:rFonts w:hint="eastAsia" w:ascii="宋体" w:hAnsi="宋体" w:eastAsia="宋体"/>
          <w:color w:val="auto"/>
          <w:sz w:val="21"/>
          <w:szCs w:val="21"/>
          <w:highlight w:val="none"/>
          <w:lang w:eastAsia="zh-CN"/>
        </w:rPr>
        <w:t>三方诚信招标有限公司</w:t>
      </w:r>
      <w:r>
        <w:rPr>
          <w:rFonts w:hint="eastAsia" w:ascii="宋体" w:hAnsi="宋体" w:eastAsia="宋体"/>
          <w:color w:val="auto"/>
          <w:sz w:val="21"/>
          <w:szCs w:val="21"/>
          <w:highlight w:val="none"/>
        </w:rPr>
        <w:t>东莞分公司</w:t>
      </w:r>
    </w:p>
    <w:p>
      <w:pPr>
        <w:widowControl w:val="0"/>
        <w:numPr>
          <w:ilvl w:val="0"/>
          <w:numId w:val="6"/>
        </w:numPr>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投标单位名称：</w:t>
      </w:r>
    </w:p>
    <w:p>
      <w:pPr>
        <w:widowControl w:val="0"/>
        <w:numPr>
          <w:ilvl w:val="0"/>
          <w:numId w:val="6"/>
        </w:numPr>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项目名称：</w:t>
      </w:r>
    </w:p>
    <w:p>
      <w:pPr>
        <w:widowControl w:val="0"/>
        <w:numPr>
          <w:ilvl w:val="0"/>
          <w:numId w:val="6"/>
        </w:numPr>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项目</w:t>
      </w:r>
      <w:r>
        <w:rPr>
          <w:rFonts w:hint="eastAsia" w:ascii="宋体" w:hAnsi="宋体" w:eastAsia="宋体"/>
          <w:color w:val="auto"/>
          <w:sz w:val="21"/>
          <w:szCs w:val="21"/>
          <w:highlight w:val="none"/>
          <w:lang w:eastAsia="zh-CN"/>
        </w:rPr>
        <w:t>采购项目编号</w:t>
      </w:r>
      <w:r>
        <w:rPr>
          <w:rFonts w:hint="eastAsia" w:ascii="宋体" w:hAnsi="宋体" w:eastAsia="宋体"/>
          <w:color w:val="auto"/>
          <w:sz w:val="21"/>
          <w:szCs w:val="21"/>
          <w:highlight w:val="none"/>
        </w:rPr>
        <w:t>：</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未进行项目报名的单位（以采购代理机构报名表</w:t>
      </w:r>
      <w:r>
        <w:rPr>
          <w:rFonts w:hint="eastAsia" w:ascii="宋体" w:hAnsi="宋体" w:eastAsia="宋体"/>
          <w:color w:val="auto"/>
          <w:sz w:val="21"/>
          <w:szCs w:val="21"/>
          <w:highlight w:val="none"/>
          <w:lang w:eastAsia="zh-CN"/>
        </w:rPr>
        <w:t>或报名发票</w:t>
      </w:r>
      <w:r>
        <w:rPr>
          <w:rFonts w:hint="eastAsia" w:ascii="宋体" w:hAnsi="宋体" w:eastAsia="宋体"/>
          <w:color w:val="auto"/>
          <w:sz w:val="21"/>
          <w:szCs w:val="21"/>
          <w:highlight w:val="none"/>
        </w:rPr>
        <w:t>为准）递交的投标文件，采购代理机构将拒绝接收。</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密封信封上的项目编号错误或项目名称出现严重歧义的（包括采购内容不符），采购代理机构将拒绝接收。</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采购代理机构对所有投标文件的误投或提前启封概不负责。</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投标人同时参加几个包投标时必须按招标文件要求按包号分别制作投标文件，分别密封递交。</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传真</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电传的投标文件将被拒绝。</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递交的投标文件中所提供的通讯方式应保持联络畅通，因联系不上而导致的所有后果由投标人自行承担。</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48" w:name="_Toc10743"/>
      <w:r>
        <w:rPr>
          <w:rFonts w:hint="eastAsia" w:ascii="宋体" w:hAnsi="宋体" w:eastAsia="宋体"/>
          <w:color w:val="auto"/>
          <w:sz w:val="21"/>
          <w:szCs w:val="21"/>
          <w:highlight w:val="none"/>
        </w:rPr>
        <w:t>18.迟交的投标文件</w:t>
      </w:r>
      <w:bookmarkEnd w:id="48"/>
    </w:p>
    <w:p>
      <w:pPr>
        <w:pStyle w:val="26"/>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投标人在投标截止时间之后提交的投标文件，采购代理机构将拒绝接收</w:t>
      </w:r>
      <w:r>
        <w:rPr>
          <w:rFonts w:ascii="宋体" w:hAnsi="宋体" w:eastAsia="宋体"/>
          <w:color w:val="auto"/>
          <w:sz w:val="21"/>
          <w:szCs w:val="21"/>
          <w:highlight w:val="none"/>
        </w:rPr>
        <w:t>。</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有违反其他法律规定情形的，采购代理机构将拒绝接收。</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49" w:name="_Toc348"/>
      <w:r>
        <w:rPr>
          <w:rFonts w:hint="eastAsia" w:ascii="宋体" w:hAnsi="宋体" w:eastAsia="宋体"/>
          <w:color w:val="auto"/>
          <w:sz w:val="21"/>
          <w:szCs w:val="21"/>
          <w:highlight w:val="none"/>
        </w:rPr>
        <w:t>19.投标样品（如需提交）</w:t>
      </w:r>
      <w:bookmarkEnd w:id="49"/>
    </w:p>
    <w:p>
      <w:pPr>
        <w:pStyle w:val="26"/>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如有必要，采购代理机构可以要求投标人提供本服务项目涉及的部分设备或产品样品，投标人在投标时应提交《样品清单》。</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为方便评标，投标人在提供样品时，</w:t>
      </w:r>
      <w:r>
        <w:rPr>
          <w:rFonts w:hint="eastAsia" w:ascii="宋体" w:hAnsi="宋体" w:eastAsia="宋体"/>
          <w:color w:val="auto"/>
          <w:sz w:val="21"/>
          <w:szCs w:val="21"/>
          <w:highlight w:val="none"/>
          <w:lang w:eastAsia="zh-CN"/>
        </w:rPr>
        <w:t>应</w:t>
      </w:r>
      <w:r>
        <w:rPr>
          <w:rFonts w:hint="eastAsia" w:ascii="宋体" w:hAnsi="宋体" w:eastAsia="宋体"/>
          <w:color w:val="auto"/>
          <w:sz w:val="21"/>
          <w:szCs w:val="21"/>
          <w:highlight w:val="none"/>
        </w:rPr>
        <w:t>在所提供的样品表面显著位置标注投标人的名称、包号、样品名称、招标文件规定的服务或货物编号。</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样品作为投标文件的一部分，除非另有说明，中标单位的样品将作为履约验收标准的参考不再退还，未中标单位须在中标公告发布后五个工作日内，前往采购代理机构领取投标样品，逾期不领，采购代理机构将不承担样品的保管责任，由此引发的样品丢失、毁损，采购代理机构不予负责。</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50" w:name="_Toc9777"/>
      <w:bookmarkStart w:id="51" w:name="_Toc303084265"/>
      <w:bookmarkStart w:id="52" w:name="_Toc382049112"/>
      <w:bookmarkStart w:id="53" w:name="_Toc5391"/>
      <w:r>
        <w:rPr>
          <w:rFonts w:hint="eastAsia" w:ascii="宋体" w:hAnsi="宋体" w:eastAsia="宋体"/>
          <w:color w:val="auto"/>
          <w:sz w:val="21"/>
          <w:szCs w:val="21"/>
          <w:highlight w:val="none"/>
        </w:rPr>
        <w:t>20.投标截止期</w:t>
      </w:r>
      <w:bookmarkEnd w:id="50"/>
      <w:bookmarkEnd w:id="51"/>
      <w:bookmarkEnd w:id="52"/>
      <w:bookmarkEnd w:id="53"/>
    </w:p>
    <w:p>
      <w:pPr>
        <w:pStyle w:val="26"/>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投标人应在招标文件规定的截止日期和时间</w:t>
      </w:r>
      <w:r>
        <w:rPr>
          <w:rFonts w:hint="eastAsia" w:ascii="宋体" w:hAnsi="宋体" w:eastAsia="宋体"/>
          <w:color w:val="auto"/>
          <w:sz w:val="21"/>
          <w:szCs w:val="21"/>
          <w:highlight w:val="none"/>
          <w:lang w:eastAsia="zh-CN"/>
        </w:rPr>
        <w:t>内</w:t>
      </w:r>
      <w:r>
        <w:rPr>
          <w:rFonts w:hint="eastAsia" w:ascii="宋体" w:hAnsi="宋体" w:eastAsia="宋体"/>
          <w:color w:val="auto"/>
          <w:sz w:val="21"/>
          <w:szCs w:val="21"/>
          <w:highlight w:val="none"/>
        </w:rPr>
        <w:t>，将投标文件送达到指定地点。</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w:t>
      </w:r>
      <w:r>
        <w:rPr>
          <w:rFonts w:ascii="宋体" w:hAnsi="宋体" w:eastAsia="宋体"/>
          <w:color w:val="auto"/>
          <w:sz w:val="21"/>
          <w:szCs w:val="21"/>
          <w:highlight w:val="none"/>
        </w:rPr>
        <w:t>可按本须知规定以</w:t>
      </w:r>
      <w:r>
        <w:rPr>
          <w:rFonts w:hint="eastAsia" w:ascii="宋体" w:hAnsi="宋体" w:eastAsia="宋体"/>
          <w:color w:val="auto"/>
          <w:sz w:val="21"/>
          <w:szCs w:val="21"/>
          <w:highlight w:val="none"/>
        </w:rPr>
        <w:t>澄清或</w:t>
      </w:r>
      <w:r>
        <w:rPr>
          <w:rFonts w:ascii="宋体" w:hAnsi="宋体" w:eastAsia="宋体"/>
          <w:color w:val="auto"/>
          <w:sz w:val="21"/>
          <w:szCs w:val="21"/>
          <w:highlight w:val="none"/>
        </w:rPr>
        <w:t>修改通知的方式，酌情延长</w:t>
      </w:r>
      <w:r>
        <w:rPr>
          <w:rFonts w:hint="eastAsia" w:ascii="宋体" w:hAnsi="宋体" w:eastAsia="宋体"/>
          <w:color w:val="auto"/>
          <w:sz w:val="21"/>
          <w:szCs w:val="21"/>
          <w:highlight w:val="none"/>
        </w:rPr>
        <w:t>递</w:t>
      </w:r>
      <w:r>
        <w:rPr>
          <w:rFonts w:ascii="宋体" w:hAnsi="宋体" w:eastAsia="宋体"/>
          <w:color w:val="auto"/>
          <w:sz w:val="21"/>
          <w:szCs w:val="21"/>
          <w:highlight w:val="none"/>
        </w:rPr>
        <w:t>交投标文件的截止时间。在此情况下，投标人的所有权利和义务以及投标人受制约的截止时间，均以延长后新的投标截止时间为准。</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54" w:name="_Toc5886"/>
      <w:r>
        <w:rPr>
          <w:rFonts w:hint="eastAsia" w:ascii="宋体" w:hAnsi="宋体" w:eastAsia="宋体"/>
          <w:color w:val="auto"/>
          <w:sz w:val="21"/>
          <w:szCs w:val="21"/>
          <w:highlight w:val="none"/>
        </w:rPr>
        <w:t>21.投标文件的补充、修改与撤回</w:t>
      </w:r>
      <w:bookmarkEnd w:id="54"/>
    </w:p>
    <w:p>
      <w:pPr>
        <w:pStyle w:val="26"/>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投标人在提交投标文件截止时间前，可以对所提交的投标文件进行补充、修改或撤回，并以纸质版形式通知采购代理机构。在提交投标文件截止时间之后，投标人不得对其投标文件做出任何的补充和修改。</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投标人对投标文件的补充、修改的内容应当按招标文件要求的签署、盖章、密封后，作为投标文件的组成部分。并按照招标文件规定密封和标记的要求提交，并在投标文件密封袋上标明“补充、修改”字样。</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投标文件一经递交不予退还。</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在提交投标文件截止时间至投标有效期满之前，投标人不得撤回其投标，否则其投标保证金将不予退还。</w:t>
      </w:r>
    </w:p>
    <w:p>
      <w:pPr>
        <w:pStyle w:val="2"/>
        <w:rPr>
          <w:color w:val="auto"/>
          <w:highlight w:val="none"/>
        </w:rPr>
      </w:pPr>
    </w:p>
    <w:p>
      <w:pPr>
        <w:pStyle w:val="4"/>
        <w:numPr>
          <w:ilvl w:val="0"/>
          <w:numId w:val="3"/>
        </w:numPr>
        <w:spacing w:before="0" w:after="0" w:line="480" w:lineRule="auto"/>
        <w:jc w:val="center"/>
        <w:rPr>
          <w:rFonts w:ascii="宋体" w:hAnsi="宋体" w:eastAsia="宋体"/>
          <w:color w:val="auto"/>
          <w:highlight w:val="none"/>
        </w:rPr>
      </w:pPr>
      <w:bookmarkStart w:id="55" w:name="_Toc31243"/>
      <w:r>
        <w:rPr>
          <w:rFonts w:hint="eastAsia" w:ascii="宋体" w:hAnsi="宋体" w:eastAsia="宋体"/>
          <w:color w:val="auto"/>
          <w:highlight w:val="none"/>
        </w:rPr>
        <w:t>开标与评标</w:t>
      </w:r>
      <w:bookmarkEnd w:id="55"/>
    </w:p>
    <w:p>
      <w:pPr>
        <w:pStyle w:val="5"/>
        <w:widowControl w:val="0"/>
        <w:overflowPunct w:val="0"/>
        <w:spacing w:before="0" w:after="0" w:line="240" w:lineRule="auto"/>
        <w:rPr>
          <w:rFonts w:ascii="宋体" w:hAnsi="宋体" w:eastAsia="宋体"/>
          <w:color w:val="auto"/>
          <w:sz w:val="21"/>
          <w:szCs w:val="21"/>
          <w:highlight w:val="none"/>
        </w:rPr>
      </w:pPr>
      <w:bookmarkStart w:id="56" w:name="_Toc30340"/>
      <w:r>
        <w:rPr>
          <w:rFonts w:hint="eastAsia" w:ascii="宋体" w:hAnsi="宋体" w:eastAsia="宋体"/>
          <w:color w:val="auto"/>
          <w:sz w:val="21"/>
          <w:szCs w:val="21"/>
          <w:highlight w:val="none"/>
        </w:rPr>
        <w:t>22.开标</w:t>
      </w:r>
      <w:bookmarkEnd w:id="56"/>
    </w:p>
    <w:p>
      <w:pPr>
        <w:pStyle w:val="26"/>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采购代理机构按</w:t>
      </w:r>
      <w:r>
        <w:rPr>
          <w:rFonts w:ascii="宋体" w:hAnsi="宋体" w:eastAsia="宋体"/>
          <w:color w:val="auto"/>
          <w:sz w:val="21"/>
          <w:szCs w:val="21"/>
          <w:highlight w:val="none"/>
        </w:rPr>
        <w:t>本</w:t>
      </w:r>
      <w:r>
        <w:rPr>
          <w:rFonts w:hint="eastAsia" w:ascii="宋体" w:hAnsi="宋体" w:eastAsia="宋体"/>
          <w:color w:val="auto"/>
          <w:sz w:val="21"/>
          <w:szCs w:val="21"/>
          <w:highlight w:val="none"/>
        </w:rPr>
        <w:t>招标文件</w:t>
      </w:r>
      <w:r>
        <w:rPr>
          <w:rFonts w:ascii="宋体" w:hAnsi="宋体" w:eastAsia="宋体"/>
          <w:color w:val="auto"/>
          <w:sz w:val="21"/>
          <w:szCs w:val="21"/>
          <w:highlight w:val="none"/>
        </w:rPr>
        <w:t>所规定的时间和地点公开开标，并邀请所有投标人</w:t>
      </w:r>
      <w:r>
        <w:rPr>
          <w:rFonts w:hint="eastAsia" w:ascii="宋体" w:hAnsi="宋体" w:eastAsia="宋体"/>
          <w:color w:val="auto"/>
          <w:sz w:val="21"/>
          <w:szCs w:val="21"/>
          <w:highlight w:val="none"/>
        </w:rPr>
        <w:t>代表</w:t>
      </w:r>
      <w:r>
        <w:rPr>
          <w:rFonts w:ascii="宋体" w:hAnsi="宋体" w:eastAsia="宋体"/>
          <w:color w:val="auto"/>
          <w:sz w:val="21"/>
          <w:szCs w:val="21"/>
          <w:highlight w:val="none"/>
        </w:rPr>
        <w:t>参加。</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开标程序：</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开标</w:t>
      </w:r>
      <w:r>
        <w:rPr>
          <w:rFonts w:hint="eastAsia" w:ascii="宋体" w:hAnsi="宋体" w:eastAsia="宋体"/>
          <w:color w:val="auto"/>
          <w:sz w:val="21"/>
          <w:szCs w:val="21"/>
          <w:highlight w:val="none"/>
        </w:rPr>
        <w:t>会</w:t>
      </w:r>
      <w:r>
        <w:rPr>
          <w:rFonts w:ascii="宋体" w:hAnsi="宋体" w:eastAsia="宋体"/>
          <w:color w:val="auto"/>
          <w:sz w:val="21"/>
          <w:szCs w:val="21"/>
          <w:highlight w:val="none"/>
        </w:rPr>
        <w:t>由</w:t>
      </w:r>
      <w:r>
        <w:rPr>
          <w:rFonts w:hint="eastAsia" w:ascii="宋体" w:hAnsi="宋体" w:eastAsia="宋体"/>
          <w:color w:val="auto"/>
          <w:sz w:val="21"/>
          <w:szCs w:val="21"/>
          <w:highlight w:val="none"/>
        </w:rPr>
        <w:t>采购代理机构</w:t>
      </w:r>
      <w:r>
        <w:rPr>
          <w:rFonts w:ascii="宋体" w:hAnsi="宋体" w:eastAsia="宋体"/>
          <w:color w:val="auto"/>
          <w:sz w:val="21"/>
          <w:szCs w:val="21"/>
          <w:highlight w:val="none"/>
        </w:rPr>
        <w:t>主持</w:t>
      </w:r>
      <w:r>
        <w:rPr>
          <w:rFonts w:hint="eastAsia" w:ascii="宋体" w:hAnsi="宋体" w:eastAsia="宋体"/>
          <w:color w:val="auto"/>
          <w:sz w:val="21"/>
          <w:szCs w:val="21"/>
          <w:highlight w:val="none"/>
        </w:rPr>
        <w:t>，投标人的法定代表人或其授权代表携带有效身份证明准时参加开标会并签名报到。</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开标时，由投标人或者其推选的代表检查投标文件的密封情况；经确认无误后，由采购人或者采购代理机构工作人员当众拆封，宣布投标人名称、投标价格和招标文件规定的需要宣布的其他内容；</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投标人代表对开标过程和开标记录有</w:t>
      </w:r>
      <w:r>
        <w:rPr>
          <w:rFonts w:hint="eastAsia" w:ascii="宋体" w:hAnsi="宋体" w:eastAsia="宋体"/>
          <w:color w:val="auto"/>
          <w:sz w:val="21"/>
          <w:szCs w:val="21"/>
          <w:highlight w:val="none"/>
          <w:lang w:eastAsia="zh-CN"/>
        </w:rPr>
        <w:t>异议</w:t>
      </w:r>
      <w:r>
        <w:rPr>
          <w:rFonts w:hint="eastAsia" w:ascii="宋体" w:hAnsi="宋体" w:eastAsia="宋体"/>
          <w:color w:val="auto"/>
          <w:sz w:val="21"/>
          <w:szCs w:val="21"/>
          <w:highlight w:val="none"/>
        </w:rPr>
        <w:t>，以及认为采购人、采购代理机构相关工作人员有需要回避的情形的，应当场提出询问或者回避申请。开标现场未提出</w:t>
      </w:r>
      <w:r>
        <w:rPr>
          <w:rFonts w:hint="eastAsia" w:ascii="宋体" w:hAnsi="宋体" w:eastAsia="宋体"/>
          <w:color w:val="auto"/>
          <w:sz w:val="21"/>
          <w:szCs w:val="21"/>
          <w:highlight w:val="none"/>
          <w:lang w:eastAsia="zh-CN"/>
        </w:rPr>
        <w:t>异议</w:t>
      </w:r>
      <w:r>
        <w:rPr>
          <w:rFonts w:hint="eastAsia" w:ascii="宋体" w:hAnsi="宋体" w:eastAsia="宋体"/>
          <w:color w:val="auto"/>
          <w:sz w:val="21"/>
          <w:szCs w:val="21"/>
          <w:highlight w:val="none"/>
        </w:rPr>
        <w:t>的视为认同开标结果。开标结束后，投标人对开标过程和开标记录不得再提出</w:t>
      </w:r>
      <w:r>
        <w:rPr>
          <w:rFonts w:hint="eastAsia" w:ascii="宋体" w:hAnsi="宋体" w:eastAsia="宋体"/>
          <w:color w:val="auto"/>
          <w:sz w:val="21"/>
          <w:szCs w:val="21"/>
          <w:highlight w:val="none"/>
          <w:lang w:eastAsia="zh-CN"/>
        </w:rPr>
        <w:t>异议</w:t>
      </w:r>
      <w:r>
        <w:rPr>
          <w:rFonts w:hint="eastAsia" w:ascii="宋体" w:hAnsi="宋体" w:eastAsia="宋体"/>
          <w:color w:val="auto"/>
          <w:sz w:val="21"/>
          <w:szCs w:val="21"/>
          <w:highlight w:val="none"/>
        </w:rPr>
        <w:t>。</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投标人未参加开标的，视同认可开标结果。</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合格投标人不足3家的，不得开标；</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开标过程应当由采购人或者采购代理机构负责记录，由参加开标的各投标人代表和相关工作人员签字确认。</w:t>
      </w:r>
    </w:p>
    <w:p>
      <w:pPr>
        <w:widowControl w:val="0"/>
        <w:adjustRightInd/>
        <w:snapToGrid/>
        <w:spacing w:after="0" w:line="360" w:lineRule="exact"/>
        <w:ind w:left="567"/>
        <w:jc w:val="both"/>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57" w:name="_Toc12198"/>
      <w:r>
        <w:rPr>
          <w:rFonts w:hint="eastAsia" w:ascii="宋体" w:hAnsi="宋体" w:eastAsia="宋体"/>
          <w:color w:val="auto"/>
          <w:sz w:val="21"/>
          <w:szCs w:val="21"/>
          <w:highlight w:val="none"/>
        </w:rPr>
        <w:t>23.评标委员会及评标方法</w:t>
      </w:r>
      <w:bookmarkEnd w:id="57"/>
    </w:p>
    <w:p>
      <w:pPr>
        <w:pStyle w:val="26"/>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评标委员会根据招标项目的特点进行组建，并负责评标工作。</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评审方法：本次招标的评审方法采用综合评分法。</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招标</w:t>
      </w:r>
      <w:r>
        <w:rPr>
          <w:rFonts w:hint="eastAsia" w:ascii="宋体" w:hAnsi="宋体" w:eastAsia="宋体"/>
          <w:color w:val="auto"/>
          <w:sz w:val="21"/>
          <w:szCs w:val="21"/>
          <w:highlight w:val="none"/>
        </w:rPr>
        <w:t>文件中要求</w:t>
      </w:r>
      <w:r>
        <w:rPr>
          <w:rFonts w:hint="eastAsia" w:ascii="宋体" w:hAnsi="宋体" w:eastAsia="宋体"/>
          <w:color w:val="auto"/>
          <w:sz w:val="21"/>
          <w:szCs w:val="21"/>
          <w:highlight w:val="none"/>
          <w:lang w:eastAsia="zh-CN"/>
        </w:rPr>
        <w:t>投标人</w:t>
      </w:r>
      <w:r>
        <w:rPr>
          <w:rFonts w:hint="eastAsia" w:ascii="宋体" w:hAnsi="宋体" w:eastAsia="宋体"/>
          <w:color w:val="auto"/>
          <w:sz w:val="21"/>
          <w:szCs w:val="21"/>
          <w:highlight w:val="none"/>
        </w:rPr>
        <w:t>提供的相关资质证书证明材料因国家政策变动导致新旧证书名称不一致，旧证书未取消且新旧证书具有同等效力的，</w:t>
      </w:r>
      <w:r>
        <w:rPr>
          <w:rFonts w:hint="eastAsia" w:ascii="宋体" w:hAnsi="宋体" w:eastAsia="宋体"/>
          <w:color w:val="auto"/>
          <w:sz w:val="21"/>
          <w:szCs w:val="21"/>
          <w:highlight w:val="none"/>
          <w:lang w:eastAsia="zh-CN"/>
        </w:rPr>
        <w:t>投标人</w:t>
      </w:r>
      <w:r>
        <w:rPr>
          <w:rFonts w:hint="eastAsia" w:ascii="宋体" w:hAnsi="宋体" w:eastAsia="宋体"/>
          <w:color w:val="auto"/>
          <w:sz w:val="21"/>
          <w:szCs w:val="21"/>
          <w:highlight w:val="none"/>
        </w:rPr>
        <w:t>提供新证书与提供在有效期内的旧证书给予同等认可。</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定标原则：在最大限度</w:t>
      </w:r>
      <w:r>
        <w:rPr>
          <w:rFonts w:ascii="宋体" w:hAnsi="宋体" w:eastAsia="宋体"/>
          <w:color w:val="auto"/>
          <w:sz w:val="21"/>
          <w:szCs w:val="21"/>
          <w:highlight w:val="none"/>
        </w:rPr>
        <w:t>满足招标文件</w:t>
      </w:r>
      <w:r>
        <w:rPr>
          <w:rFonts w:hint="eastAsia" w:ascii="宋体" w:hAnsi="宋体" w:eastAsia="宋体"/>
          <w:color w:val="auto"/>
          <w:sz w:val="21"/>
          <w:szCs w:val="21"/>
          <w:highlight w:val="none"/>
        </w:rPr>
        <w:t>实质性要求前提下，按照招标文件规定的各项评价因素进行量化打分，以评标总得分最高的投标人作为中标候选人或中标人。</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评标委员会对投标文件的评审内容，分为商务评议、技术评议和价格评议。评审流程包括符合性检查、澄清问题、比较与评价、推荐中标候选人或确定中标人、编写评标报告等步骤。</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评标委员会和采购人在评审过程中有权核对投标文件中相关材料的原件，投标人在接到通知后应在评标委员会规定的时间内提交原件核查。</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58" w:name="_Toc23115"/>
      <w:r>
        <w:rPr>
          <w:rFonts w:hint="eastAsia" w:ascii="宋体" w:hAnsi="宋体" w:eastAsia="宋体"/>
          <w:color w:val="auto"/>
          <w:sz w:val="21"/>
          <w:szCs w:val="21"/>
          <w:highlight w:val="none"/>
        </w:rPr>
        <w:t>24.评审原则及评标过程的保密</w:t>
      </w:r>
      <w:bookmarkEnd w:id="58"/>
    </w:p>
    <w:p>
      <w:pPr>
        <w:pStyle w:val="26"/>
        <w:widowControl w:val="0"/>
        <w:numPr>
          <w:ilvl w:val="0"/>
          <w:numId w:val="4"/>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评审的基本原则：评标委员会将依据</w:t>
      </w:r>
      <w:r>
        <w:rPr>
          <w:rFonts w:hint="eastAsia" w:ascii="宋体" w:hAnsi="宋体" w:eastAsia="宋体"/>
          <w:color w:val="auto"/>
          <w:sz w:val="21"/>
          <w:szCs w:val="21"/>
          <w:highlight w:val="none"/>
          <w:lang w:eastAsia="zh-CN"/>
        </w:rPr>
        <w:t>招标文件</w:t>
      </w:r>
      <w:r>
        <w:rPr>
          <w:rFonts w:hint="eastAsia" w:ascii="宋体" w:hAnsi="宋体" w:eastAsia="宋体"/>
          <w:color w:val="auto"/>
          <w:sz w:val="21"/>
          <w:szCs w:val="21"/>
          <w:highlight w:val="none"/>
        </w:rPr>
        <w:t>的规定，遵循“公开、公平、公正、择优、信用”的原则进行评审工作。</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从公开开标到签订合同，凡与审查、澄清、评审和投标有关的资料以及定标意见相关的事项，均不得向投标人及与评标无关的其他人透露。</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任何单位和个人不得非法干预、影响评标的过程和结果。</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59" w:name="_Toc29486"/>
      <w:r>
        <w:rPr>
          <w:rFonts w:hint="eastAsia" w:ascii="宋体" w:hAnsi="宋体" w:eastAsia="宋体"/>
          <w:color w:val="auto"/>
          <w:sz w:val="21"/>
          <w:szCs w:val="21"/>
          <w:highlight w:val="none"/>
        </w:rPr>
        <w:t>25.投标文件的初审</w:t>
      </w:r>
      <w:bookmarkEnd w:id="59"/>
    </w:p>
    <w:p>
      <w:pPr>
        <w:pStyle w:val="26"/>
        <w:widowControl w:val="0"/>
        <w:numPr>
          <w:ilvl w:val="0"/>
          <w:numId w:val="4"/>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公开招标采购项目开标结束后，采购人或者采购代理机构将依法对投标人的资格进行审查。资格审查时，投标人存在不符合资格性检查所要求事项情况的，投标无效。未通过资格审查的投标人不进入评标阶段的评审；评标委员会将对符合资格的投标人的投标文件进行符合性审查，以确定其是否满足</w:t>
      </w:r>
      <w:r>
        <w:rPr>
          <w:rFonts w:hint="eastAsia" w:ascii="宋体" w:hAnsi="宋体" w:eastAsia="宋体"/>
          <w:color w:val="auto"/>
          <w:sz w:val="21"/>
          <w:szCs w:val="21"/>
          <w:highlight w:val="none"/>
          <w:lang w:eastAsia="zh-CN"/>
        </w:rPr>
        <w:t>招标文件</w:t>
      </w:r>
      <w:r>
        <w:rPr>
          <w:rFonts w:hint="eastAsia" w:ascii="宋体" w:hAnsi="宋体" w:eastAsia="宋体"/>
          <w:color w:val="auto"/>
          <w:sz w:val="21"/>
          <w:szCs w:val="21"/>
          <w:highlight w:val="none"/>
        </w:rPr>
        <w:t>的实质性要求。</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投标文件报价出现前后不一致的，评标委员会按照下列规定修正：</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投标文件中开标一览表（报价表）内容与投标文件中相应内容不一致的，以开标一览表（报价表）为准；</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大写金额和小写金额不一致的，以大写金额为准；</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单价金额小数点或者百分比有明显错位的，以开标一览表的总价为准，并修改单价；</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总价金额与按单价汇总金额不一致的，以单价金额计算结果为准。</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同时出现两种以上不一致的，按照前款规定的顺序修正。修正后的报价按照经投标人确认后产生约束力，投标人不确认的，其投标无效。</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以现场通知时间为准），必要时提交相关证明材料；投标人不能证明其报价合理性的，评标委员会应当将其作为无效投标处理。</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对于投标文件中不构成实质性偏差的不正规、不一致或不规则，评标委员会可以接受，但这种接受不能损害或影响任何投标人的相对排序。</w:t>
      </w:r>
    </w:p>
    <w:p>
      <w:pPr>
        <w:widowControl w:val="0"/>
        <w:numPr>
          <w:ilvl w:val="1"/>
          <w:numId w:val="4"/>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在详细评标之前，评标委员会要审查每份投标文件是否实质上响应了招标文件的要求。实质上响应的投标应该是与招标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未响应招标文件的实质要求的投标文件</w:t>
      </w:r>
      <w:r>
        <w:rPr>
          <w:rFonts w:hint="eastAsia" w:ascii="宋体" w:hAnsi="宋体" w:eastAsia="宋体"/>
          <w:color w:val="auto"/>
          <w:sz w:val="21"/>
          <w:szCs w:val="21"/>
          <w:highlight w:val="none"/>
        </w:rPr>
        <w:t>作废标处理。投标人不得通过修正或撤消不合要求的偏离或保留从而使其投标成为实质上响应的投标。评标委员会评审中，</w:t>
      </w:r>
      <w:r>
        <w:rPr>
          <w:rFonts w:hint="eastAsia" w:ascii="宋体" w:hAnsi="宋体" w:eastAsia="宋体"/>
          <w:b/>
          <w:color w:val="auto"/>
          <w:sz w:val="21"/>
          <w:szCs w:val="21"/>
          <w:highlight w:val="none"/>
        </w:rPr>
        <w:t>发现下列情况之一的，其投标将作废标处理</w:t>
      </w:r>
      <w:r>
        <w:rPr>
          <w:rFonts w:hint="eastAsia" w:ascii="宋体" w:hAnsi="宋体" w:eastAsia="宋体"/>
          <w:color w:val="auto"/>
          <w:sz w:val="21"/>
          <w:szCs w:val="21"/>
          <w:highlight w:val="none"/>
        </w:rPr>
        <w:t>：</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（一）资格性检查</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1) 资格瑕疵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包括但不限于：①资格证明文件未提供或不符合招标文件要求的；</w:t>
      </w:r>
      <w:r>
        <w:rPr>
          <w:rFonts w:ascii="宋体" w:hAnsi="宋体" w:eastAsia="宋体"/>
          <w:color w:val="auto"/>
          <w:sz w:val="21"/>
          <w:szCs w:val="21"/>
          <w:highlight w:val="none"/>
        </w:rPr>
        <w:t xml:space="preserve"> </w:t>
      </w:r>
      <w:r>
        <w:rPr>
          <w:rFonts w:hint="eastAsia" w:ascii="宋体" w:hAnsi="宋体" w:eastAsia="宋体"/>
          <w:color w:val="auto"/>
          <w:sz w:val="21"/>
          <w:szCs w:val="21"/>
          <w:highlight w:val="none"/>
        </w:rPr>
        <w:t>②资格证明文件有效期过期的；③《营业执照》复印件（加盖公章）或《事业单位法人证书》复印件（加盖公章）或其他主体证书复印件（加盖公章）未提供或有效期过期的。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2) 投标保证金瑕疵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包括但不限于：①投标人未按招标文件要求提交投标保证金；②提交方式、提交时间、提交金额不符合招标文件要求；③投标保证金有效期不符合招标文件要求。</w:t>
      </w:r>
      <w:bookmarkStart w:id="60" w:name="_Ref179621189"/>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（二）符合性检查</w:t>
      </w:r>
      <w:bookmarkEnd w:id="60"/>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1) 投标文件的有效性、完整性瑕疵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包括但不限于：①投标文件的数量、制作不符合要求（包括但不限于投标文件内容与采购内容不符，投标文件项目</w:t>
      </w:r>
      <w:r>
        <w:rPr>
          <w:rFonts w:hint="eastAsia" w:ascii="宋体" w:hAnsi="宋体" w:eastAsia="宋体"/>
          <w:color w:val="auto"/>
          <w:sz w:val="21"/>
          <w:szCs w:val="21"/>
          <w:highlight w:val="none"/>
          <w:lang w:eastAsia="zh-CN"/>
        </w:rPr>
        <w:t>采购项目编号</w:t>
      </w:r>
      <w:r>
        <w:rPr>
          <w:rFonts w:hint="eastAsia" w:ascii="宋体" w:hAnsi="宋体" w:eastAsia="宋体"/>
          <w:color w:val="auto"/>
          <w:sz w:val="21"/>
          <w:szCs w:val="21"/>
          <w:highlight w:val="none"/>
        </w:rPr>
        <w:t>错误，投标文件项目名称错误导致无法分表所投项目为本项目的，</w:t>
      </w:r>
      <w:r>
        <w:rPr>
          <w:rFonts w:hint="eastAsia" w:ascii="宋体" w:hAnsi="宋体" w:eastAsia="宋体"/>
          <w:color w:val="auto"/>
          <w:sz w:val="21"/>
          <w:szCs w:val="21"/>
          <w:highlight w:val="none"/>
          <w:lang w:eastAsia="zh-CN"/>
        </w:rPr>
        <w:t>投标文件散落</w:t>
      </w:r>
      <w:r>
        <w:rPr>
          <w:rFonts w:hint="eastAsia" w:ascii="宋体" w:hAnsi="宋体" w:eastAsia="宋体"/>
          <w:color w:val="auto"/>
          <w:sz w:val="21"/>
          <w:szCs w:val="21"/>
          <w:highlight w:val="none"/>
        </w:rPr>
        <w:t>，未提供单独的开标文件等）；②投标文件中要求签字的内容无法定代表人或其授权代表签字，或签字人无法定代表人有效授权的；③签字盖章不符合招标文件要求的；④投标文件内容有严重缺漏项的；⑤投标报价有严重缺漏项的；⑥投标文件的关键内容字迹模糊、无法辨认的；⑦投标有效期不符合文件要求的；⑧投标书内容存在严重缺漏项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2) 技术响应瑕疵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投标文件不满足招标文件中加注星号（★）的主要参数要求或加注星号的主要参数无技术资料支持的；②一般参数超出允许偏离的最大范围或最高项数的；③投标文件技术响应与事实不符或虚假投标的；④《技术规格偏离表》未提供的；⑤将一个包中的内容拆开投标的；⑥投标人对同一货物或服务投标时，同时提供两套或两套以上的投标方案的；⑦明显不符合技术规格、技术标准要求的；⑧其他未实质性响应招标文件技术要求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3) 商务响应瑕疵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招标文件加注星号（★）的商务要求负偏离的；②招标项目完成期（包括但不限于：工期，服务期，交货期等）未满足招标文件要求的；③投标文件载明的货物包装方式、检验标准和方法不符合招标文件要求的；④《商务条款偏离表》未提供的；⑤采购代理机构服务费条款有偏离的；⑥投标人低于成本报价且未提供相关说明文件竞标的；⑦投标文件附有采购人不能接受的条件的；⑧其他未实质性响应招标文件商务要求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4）投标报价瑕疵</w:t>
      </w:r>
    </w:p>
    <w:p>
      <w:pPr>
        <w:widowControl w:val="0"/>
        <w:tabs>
          <w:tab w:val="left" w:pos="907"/>
        </w:tabs>
        <w:adjustRightInd/>
        <w:snapToGrid/>
        <w:spacing w:after="0" w:line="360" w:lineRule="exact"/>
        <w:ind w:left="567"/>
        <w:jc w:val="both"/>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①投标报价超过本招标文件明确的项目预算或文件明确的最高限价；②投标报价格式与文件要求不符</w:t>
      </w:r>
      <w:r>
        <w:rPr>
          <w:rFonts w:hint="eastAsia" w:ascii="宋体" w:hAnsi="宋体" w:eastAsia="宋体"/>
          <w:color w:val="auto"/>
          <w:sz w:val="21"/>
          <w:szCs w:val="21"/>
          <w:highlight w:val="none"/>
          <w:lang w:eastAsia="zh-CN"/>
        </w:rPr>
        <w:t>；③开标一览表格式或内容与招标文件要求不符。</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5）违规行为</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包括但不限于：①以他人的名义投标、串通投标、以行贿手段谋取中标或者以其他弄虚作假方式投标的；②扰乱开标、评标秩序，干扰招标工作正常进行的。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6)法律法规及招标文件中规定的其它情形。</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根据项目情况，评标委员会有权决定招标文件中“可能导致废标”或“可能导致其投标被拒绝”等具体条款是否实施“废标”或“投标被拒绝”，但对同一条款的裁决应适用于每个投标人。</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61" w:name="_Toc19775"/>
      <w:r>
        <w:rPr>
          <w:rFonts w:hint="eastAsia" w:ascii="宋体" w:hAnsi="宋体" w:eastAsia="宋体"/>
          <w:color w:val="auto"/>
          <w:sz w:val="21"/>
          <w:szCs w:val="21"/>
          <w:highlight w:val="none"/>
        </w:rPr>
        <w:t>26.商务、技术、价格评审（具体评审项目详见投标资料表）</w:t>
      </w:r>
      <w:bookmarkEnd w:id="61"/>
    </w:p>
    <w:p>
      <w:pPr>
        <w:pStyle w:val="26"/>
        <w:widowControl w:val="0"/>
        <w:numPr>
          <w:ilvl w:val="0"/>
          <w:numId w:val="4"/>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对通过</w:t>
      </w:r>
      <w:r>
        <w:rPr>
          <w:rFonts w:hint="eastAsia" w:ascii="宋体" w:hAnsi="宋体" w:eastAsia="宋体"/>
          <w:color w:val="auto"/>
          <w:sz w:val="21"/>
          <w:szCs w:val="21"/>
          <w:highlight w:val="none"/>
        </w:rPr>
        <w:t>资格性审查和</w:t>
      </w:r>
      <w:r>
        <w:rPr>
          <w:rFonts w:ascii="宋体" w:hAnsi="宋体" w:eastAsia="宋体"/>
          <w:color w:val="auto"/>
          <w:sz w:val="21"/>
          <w:szCs w:val="21"/>
          <w:highlight w:val="none"/>
        </w:rPr>
        <w:t>符合性检查的投标人进行商务技术综合评议，针对投标文件对招标文件的响应情况对各个投标人进行商务和技术评分</w:t>
      </w:r>
      <w:r>
        <w:rPr>
          <w:rFonts w:hint="eastAsia" w:ascii="宋体" w:hAnsi="宋体" w:eastAsia="宋体"/>
          <w:color w:val="auto"/>
          <w:sz w:val="21"/>
          <w:szCs w:val="21"/>
          <w:highlight w:val="none"/>
        </w:rPr>
        <w:t xml:space="preserve">。 </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对通过符合性审查的投标文件进行详细评审。评标委员会对每一投标文件进行详细的商务评审、技术评审。按照评审程序的规定和依据评分标准，各位评委就每个投标人的技术、商务状况及其对招标文件要求的响应情况进行评议和比较，评出其技术评分和商务评分。根据招标文件规定评出得分，将价格得分、商务得分、技术得分相加得出最终评标得分。</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p>
    <w:p>
      <w:pPr>
        <w:pStyle w:val="5"/>
        <w:widowControl w:val="0"/>
        <w:overflowPunct w:val="0"/>
        <w:spacing w:before="0" w:after="0" w:line="240" w:lineRule="auto"/>
        <w:rPr>
          <w:rFonts w:hint="eastAsia" w:ascii="宋体" w:hAnsi="宋体" w:eastAsia="宋体"/>
          <w:color w:val="auto"/>
          <w:sz w:val="21"/>
          <w:szCs w:val="21"/>
          <w:highlight w:val="none"/>
          <w:lang w:val="en-US" w:eastAsia="zh-CN"/>
        </w:rPr>
      </w:pPr>
      <w:bookmarkStart w:id="62" w:name="_Toc17229"/>
      <w:r>
        <w:rPr>
          <w:rFonts w:hint="eastAsia" w:ascii="宋体" w:hAnsi="宋体" w:eastAsia="宋体"/>
          <w:color w:val="auto"/>
          <w:sz w:val="21"/>
          <w:szCs w:val="21"/>
          <w:highlight w:val="none"/>
        </w:rPr>
        <w:t>27.优惠政策</w:t>
      </w:r>
      <w:bookmarkEnd w:id="62"/>
      <w:r>
        <w:rPr>
          <w:rFonts w:hint="eastAsia" w:ascii="宋体" w:hAnsi="宋体" w:eastAsia="宋体"/>
          <w:color w:val="auto"/>
          <w:sz w:val="21"/>
          <w:szCs w:val="21"/>
          <w:highlight w:val="none"/>
          <w:lang w:eastAsia="zh-CN"/>
        </w:rPr>
        <w:t>（仅适用于政府采购）</w:t>
      </w:r>
    </w:p>
    <w:p>
      <w:pPr>
        <w:pStyle w:val="26"/>
        <w:widowControl w:val="0"/>
        <w:numPr>
          <w:ilvl w:val="0"/>
          <w:numId w:val="4"/>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对小型或微型企业、监狱企业、残疾人福利性单位投标的扶持：</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根据财政部、工业和信息化部制定了《</w:t>
      </w:r>
      <w:r>
        <w:rPr>
          <w:rFonts w:hint="eastAsia" w:ascii="宋体" w:hAnsi="宋体" w:eastAsia="宋体"/>
          <w:color w:val="auto"/>
          <w:sz w:val="21"/>
          <w:szCs w:val="21"/>
          <w:highlight w:val="none"/>
          <w:lang w:eastAsia="zh-CN"/>
        </w:rPr>
        <w:t>政府采购促进中小企业发展管理办法</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eastAsia="zh-CN"/>
        </w:rPr>
        <w:t>（财库〔2020〕46号）</w:t>
      </w:r>
      <w:r>
        <w:rPr>
          <w:rFonts w:hint="eastAsia" w:ascii="宋体" w:hAnsi="宋体" w:eastAsia="宋体"/>
          <w:color w:val="auto"/>
          <w:sz w:val="21"/>
          <w:szCs w:val="21"/>
          <w:highlight w:val="none"/>
        </w:rPr>
        <w:t>的规定，对小型或微型企业产品的价格给予一定比例扣除，用扣除后的价格参与评审。（参加政府采购活动的中小企业应按照招标文件中投标文件格式提出《中小企业声明函》）残疾人福利性单位、监狱企业（注：参加政府采购活动的监狱企业必须提供由省级以上监狱管理局、戒毒管理局(含新疆生产建设兵团)出具的监狱企业证明文件）视同小型、微型企业。</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符合中小企业划分标准：应当符合《工业和信息化部、国家统计局、国家发展和改革委员会、财政部关于印发中小企业划型标准规定的通知》（工信部联企业〔2011〕300号）的规定；提供本企业制造的货物、承担的工程或者服务，或者提供其他小型或微型企业的制造的货物。本项所称货物不包括使用大型企业注册商标的货物。</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投标人为小型或微型企业且投标产品含小型或微型企业产品时，其对应产品价格的扣除详见投标资料表。</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在货物采购项目中，供应商提供的货物既有中小企业制造货物，也有大型企业制造货物的，不享受</w:t>
      </w:r>
      <w:r>
        <w:rPr>
          <w:rFonts w:hint="eastAsia" w:ascii="宋体" w:hAnsi="宋体" w:eastAsia="宋体"/>
          <w:color w:val="auto"/>
          <w:sz w:val="21"/>
          <w:szCs w:val="21"/>
          <w:highlight w:val="none"/>
          <w:lang w:eastAsia="zh-CN"/>
        </w:rPr>
        <w:t>“财政部 工业和信息化部关于印发《政府采购促进中小企业发展管理办法》的通知（财库〔2020〕46号）”</w:t>
      </w:r>
      <w:r>
        <w:rPr>
          <w:rFonts w:hint="eastAsia" w:ascii="宋体" w:hAnsi="宋体" w:eastAsia="宋体"/>
          <w:color w:val="auto"/>
          <w:sz w:val="21"/>
          <w:szCs w:val="21"/>
          <w:highlight w:val="none"/>
        </w:rPr>
        <w:t>规定的中小企业扶持政策。</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投标人同时为小型、微型企业、监狱企业、残疾人福利性单位任两种或以上情况的，评审中只享受一次价格扣除，不重复进行价格扣除。</w:t>
      </w:r>
    </w:p>
    <w:p>
      <w:pPr>
        <w:widowControl w:val="0"/>
        <w:numPr>
          <w:ilvl w:val="1"/>
          <w:numId w:val="4"/>
        </w:numPr>
        <w:tabs>
          <w:tab w:val="left" w:pos="907"/>
        </w:tabs>
        <w:adjustRightInd/>
        <w:snapToGrid/>
        <w:spacing w:after="0" w:line="360" w:lineRule="exact"/>
        <w:jc w:val="both"/>
        <w:rPr>
          <w:rFonts w:ascii="宋体" w:hAnsi="宋体" w:eastAsia="宋体"/>
          <w:b/>
          <w:bCs/>
          <w:color w:val="auto"/>
          <w:sz w:val="21"/>
          <w:szCs w:val="21"/>
          <w:highlight w:val="none"/>
          <w:u w:val="single"/>
        </w:rPr>
      </w:pPr>
      <w:r>
        <w:rPr>
          <w:rFonts w:hint="eastAsia" w:ascii="宋体" w:hAnsi="宋体" w:eastAsia="宋体"/>
          <w:b/>
          <w:bCs/>
          <w:color w:val="auto"/>
          <w:sz w:val="21"/>
          <w:szCs w:val="21"/>
          <w:highlight w:val="none"/>
          <w:u w:val="single"/>
        </w:rPr>
        <w:t>中标、成交供应商享受本办法（财库〔2020〕46号）规定的中小企业扶持政策的，采购代理机构</w:t>
      </w:r>
      <w:r>
        <w:rPr>
          <w:rFonts w:hint="eastAsia" w:ascii="宋体" w:hAnsi="宋体" w:eastAsia="宋体"/>
          <w:b/>
          <w:bCs/>
          <w:color w:val="auto"/>
          <w:sz w:val="21"/>
          <w:szCs w:val="21"/>
          <w:highlight w:val="none"/>
          <w:u w:val="single"/>
          <w:lang w:eastAsia="zh-CN"/>
        </w:rPr>
        <w:t>将</w:t>
      </w:r>
      <w:r>
        <w:rPr>
          <w:rFonts w:hint="eastAsia" w:ascii="宋体" w:hAnsi="宋体" w:eastAsia="宋体"/>
          <w:b/>
          <w:bCs/>
          <w:color w:val="auto"/>
          <w:sz w:val="21"/>
          <w:szCs w:val="21"/>
          <w:highlight w:val="none"/>
          <w:u w:val="single"/>
        </w:rPr>
        <w:t>随中标、成交结果公开中标、成交供应商的《中小企业声明函》。</w:t>
      </w:r>
      <w:r>
        <w:rPr>
          <w:rFonts w:hint="eastAsia" w:ascii="宋体" w:hAnsi="宋体" w:eastAsia="宋体"/>
          <w:b/>
          <w:bCs/>
          <w:color w:val="auto"/>
          <w:sz w:val="21"/>
          <w:szCs w:val="21"/>
          <w:highlight w:val="none"/>
          <w:u w:val="single"/>
          <w:lang w:eastAsia="zh-CN"/>
        </w:rPr>
        <w:t>各供应商不得提供虚假声明，提供虚假声明取消中标、成交资格，并追究其法律责任。</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符合享受政府采购支持政策的残疾人福利性单位划分标准（根据财政部 民政部 中国残疾人联合会关于促进残疾人就业政府采购政策的通知(财库[2017]141号)）：</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（1）安置的残疾人占本单位在职职工人数的比例不低于25%（含25%），并且安置的残疾人人数不少于10人（含10人）；</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（2）依法与安置的每位残疾人签订了一年以上（含一年）的劳动合同或服务协议；</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（3）为安置的每位残疾人按月足额缴纳了基本养老保险、基本医疗保险、失业保险、工伤保险和生育保险等社会保险费；</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（4）通过银行等金融机构向安置的每位残疾人，按月支付了不低于单位所在区县适用的经省级人民政府批准的月最低工资标准的工资；</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（5）提供本单位制造的货物、承担的工程或者服务（以下简称产品），或者提供其他残疾人福利性单位制造的货物（不包括使用非残疾人福利性单位注册商标的货物）。</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对节能产品或环境标志产品的扶持：</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根据《关于调整优化节能产品、环境标志产品政府采购执行机制的通知》（财库〔2019〕9号）及《转发财政部 发展改革委 生态环境部 市场监管总局关于调整优化节能产品 环境标志产品政府采购执行机制的通知》（粤财采购函〔2019〕1号）的规定，对提供节能产品或环境标志产品的投标单位的价格给予一定比例扣除（扣除比例详见投标资料表）。</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提供节能产品或环境标志产品的投标人其产品应符合以下规定：</w:t>
      </w:r>
    </w:p>
    <w:p>
      <w:pPr>
        <w:widowControl w:val="0"/>
        <w:numPr>
          <w:ilvl w:val="0"/>
          <w:numId w:val="7"/>
        </w:numPr>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所投产品属于《节能产品政府采购品目清单》或《环境标志产品政府采购品目清单》的，投标人应如实填写《节能产品或环境标志产品列价表》并提供在有效期内的“节能产品认证证书”或“环境标志产品认证证书”。</w:t>
      </w:r>
    </w:p>
    <w:p>
      <w:pPr>
        <w:widowControl w:val="0"/>
        <w:numPr>
          <w:ilvl w:val="0"/>
          <w:numId w:val="7"/>
        </w:numPr>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所投节能产品或环境标志产品其认证证书的认证机构应属于《市场监管总局关于发布参与实施政府采购节能产品、环境标志产品认证机构名录的公告（2019年第16号）》公告中所公示的认证机构，若投标人所提供的产品认证证书其认证机构不属于以上公示中的机构，则视为无效认证，不给予价格扣除优惠。</w:t>
      </w:r>
    </w:p>
    <w:p>
      <w:pPr>
        <w:widowControl w:val="0"/>
        <w:numPr>
          <w:ilvl w:val="0"/>
          <w:numId w:val="7"/>
        </w:numPr>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若用户需求中含有《节能产品政府采购品目清单》中的政府强制采购产品，投标人应根据要求提供所对应的节能产品，否则做投标无效处理。</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63" w:name="_Toc316375620"/>
      <w:bookmarkStart w:id="64" w:name="_Toc382049120"/>
      <w:bookmarkStart w:id="65" w:name="_Toc15628"/>
      <w:bookmarkStart w:id="66" w:name="_Toc20328"/>
      <w:r>
        <w:rPr>
          <w:rFonts w:hint="eastAsia" w:ascii="宋体" w:hAnsi="宋体" w:eastAsia="宋体"/>
          <w:color w:val="auto"/>
          <w:sz w:val="21"/>
          <w:szCs w:val="21"/>
          <w:highlight w:val="none"/>
        </w:rPr>
        <w:t>28.纪律和</w:t>
      </w:r>
      <w:r>
        <w:rPr>
          <w:rFonts w:ascii="宋体" w:hAnsi="宋体" w:eastAsia="宋体"/>
          <w:color w:val="auto"/>
          <w:sz w:val="21"/>
          <w:szCs w:val="21"/>
          <w:highlight w:val="none"/>
        </w:rPr>
        <w:t>保密</w:t>
      </w:r>
      <w:bookmarkEnd w:id="63"/>
      <w:r>
        <w:rPr>
          <w:rFonts w:hint="eastAsia" w:ascii="宋体" w:hAnsi="宋体" w:eastAsia="宋体"/>
          <w:color w:val="auto"/>
          <w:sz w:val="21"/>
          <w:szCs w:val="21"/>
          <w:highlight w:val="none"/>
        </w:rPr>
        <w:t>事项</w:t>
      </w:r>
      <w:bookmarkEnd w:id="64"/>
      <w:bookmarkEnd w:id="65"/>
      <w:bookmarkEnd w:id="66"/>
    </w:p>
    <w:p>
      <w:pPr>
        <w:pStyle w:val="26"/>
        <w:widowControl w:val="0"/>
        <w:numPr>
          <w:ilvl w:val="0"/>
          <w:numId w:val="4"/>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从开标之日起至授予合同期间，在投标文件的审查、澄清、比较和评价阶段，投标人试图对评标委员会和采购代理机构施加任何影响或对采购人的比较及授予合同的决定产生影响，都可能导致其投标文件被拒绝。</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投标人不得串通作弊，以不正当的手段妨碍、排挤其他投标人，扰乱招标市场，破坏公平竞争原则。否则将按相关法律规定严肃处理。</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获得本招标文件的投标人，应对文件进行保密，不得用作本次投标以外的任何用途。开标后，投标人应归还招标文件中要求保密的文件和资料。</w:t>
      </w:r>
    </w:p>
    <w:p>
      <w:pPr>
        <w:rPr>
          <w:color w:val="auto"/>
          <w:highlight w:val="none"/>
        </w:rPr>
      </w:pPr>
    </w:p>
    <w:p>
      <w:pPr>
        <w:pStyle w:val="4"/>
        <w:numPr>
          <w:ilvl w:val="0"/>
          <w:numId w:val="3"/>
        </w:numPr>
        <w:spacing w:before="0" w:after="0" w:line="480" w:lineRule="auto"/>
        <w:jc w:val="center"/>
        <w:rPr>
          <w:rFonts w:ascii="宋体" w:hAnsi="宋体" w:eastAsia="宋体"/>
          <w:color w:val="auto"/>
          <w:highlight w:val="none"/>
        </w:rPr>
      </w:pPr>
      <w:bookmarkStart w:id="67" w:name="_Toc16902"/>
      <w:r>
        <w:rPr>
          <w:rFonts w:hint="eastAsia" w:ascii="宋体" w:hAnsi="宋体" w:eastAsia="宋体"/>
          <w:color w:val="auto"/>
          <w:highlight w:val="none"/>
        </w:rPr>
        <w:t>授予合同</w:t>
      </w:r>
      <w:bookmarkEnd w:id="67"/>
    </w:p>
    <w:p>
      <w:pPr>
        <w:pStyle w:val="5"/>
        <w:widowControl w:val="0"/>
        <w:overflowPunct w:val="0"/>
        <w:spacing w:before="0" w:after="0" w:line="240" w:lineRule="auto"/>
        <w:rPr>
          <w:rFonts w:ascii="宋体" w:hAnsi="宋体" w:eastAsia="宋体"/>
          <w:color w:val="auto"/>
          <w:sz w:val="21"/>
          <w:szCs w:val="21"/>
          <w:highlight w:val="none"/>
        </w:rPr>
      </w:pPr>
      <w:bookmarkStart w:id="68" w:name="_Toc2727"/>
      <w:bookmarkStart w:id="69" w:name="_Toc508284011"/>
      <w:r>
        <w:rPr>
          <w:rFonts w:hint="eastAsia" w:ascii="宋体" w:hAnsi="宋体" w:eastAsia="宋体"/>
          <w:color w:val="auto"/>
          <w:sz w:val="21"/>
          <w:szCs w:val="21"/>
          <w:highlight w:val="none"/>
        </w:rPr>
        <w:t>29.</w:t>
      </w:r>
      <w:r>
        <w:rPr>
          <w:rFonts w:ascii="宋体" w:hAnsi="宋体" w:eastAsia="宋体"/>
          <w:color w:val="auto"/>
          <w:sz w:val="21"/>
          <w:szCs w:val="21"/>
          <w:highlight w:val="none"/>
        </w:rPr>
        <w:t>合同授予标准</w:t>
      </w:r>
      <w:bookmarkEnd w:id="68"/>
      <w:bookmarkEnd w:id="69"/>
    </w:p>
    <w:p>
      <w:pPr>
        <w:pStyle w:val="26"/>
        <w:widowControl w:val="0"/>
        <w:numPr>
          <w:ilvl w:val="0"/>
          <w:numId w:val="4"/>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根据评标委员会的评审结果，采购人按照评审报告推荐的中标候选人中按顺序依法确定中标人</w:t>
      </w:r>
      <w:r>
        <w:rPr>
          <w:rFonts w:ascii="宋体" w:hAnsi="宋体" w:eastAsia="宋体"/>
          <w:color w:val="auto"/>
          <w:sz w:val="21"/>
          <w:szCs w:val="21"/>
          <w:highlight w:val="none"/>
        </w:rPr>
        <w:t>。</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70" w:name="_Toc24457"/>
      <w:bookmarkStart w:id="71" w:name="_Toc508284013"/>
      <w:r>
        <w:rPr>
          <w:rFonts w:hint="eastAsia" w:ascii="宋体" w:hAnsi="宋体" w:eastAsia="宋体"/>
          <w:color w:val="auto"/>
          <w:sz w:val="21"/>
          <w:szCs w:val="21"/>
          <w:highlight w:val="none"/>
        </w:rPr>
        <w:t>30.发布中标结果</w:t>
      </w:r>
      <w:bookmarkEnd w:id="70"/>
      <w:bookmarkEnd w:id="71"/>
    </w:p>
    <w:p>
      <w:pPr>
        <w:pStyle w:val="26"/>
        <w:widowControl w:val="0"/>
        <w:numPr>
          <w:ilvl w:val="0"/>
          <w:numId w:val="4"/>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评标委员会提出评标书面报告和推荐中标意见报采购人确认后，采购代理机构将在指定的信息发布媒体上发布公告。</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中标公告期限为1个工作日。</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《中标通知书》是合同的一个组成部分，《中标通知书》对采购人和中标人均具有同等法律效力。</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中标人为残疾人福利性单位的，采购人或者其委托的采购代理机构应当随中标、成交结果同时公告其《残疾人福利性单位声明函》，接受社会监督。</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72" w:name="_Toc29766"/>
      <w:r>
        <w:rPr>
          <w:rFonts w:hint="eastAsia" w:ascii="宋体" w:hAnsi="宋体" w:eastAsia="宋体"/>
          <w:color w:val="auto"/>
          <w:sz w:val="21"/>
          <w:szCs w:val="21"/>
          <w:highlight w:val="none"/>
        </w:rPr>
        <w:t>31.合同的签订与履行</w:t>
      </w:r>
      <w:bookmarkEnd w:id="72"/>
    </w:p>
    <w:p>
      <w:pPr>
        <w:pStyle w:val="26"/>
        <w:widowControl w:val="0"/>
        <w:numPr>
          <w:ilvl w:val="0"/>
          <w:numId w:val="4"/>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采购人应当自中标通知书发出之日起30日内，按照招标文件和中标人投标文件的规定，与中标人签订书面合同。所签订的合同不得对招标文件确定的事项和中标人投标文件作实质性修改。</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采购人与中标人应当根据合同的约定依法履行合同义务。</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采购合同的履行、违约责任和解决争议的方法等适用《中华人民共和国</w:t>
      </w:r>
      <w:r>
        <w:rPr>
          <w:rFonts w:hint="eastAsia" w:ascii="宋体" w:hAnsi="宋体" w:eastAsia="宋体"/>
          <w:color w:val="auto"/>
          <w:sz w:val="21"/>
          <w:szCs w:val="21"/>
          <w:highlight w:val="none"/>
          <w:lang w:eastAsia="zh-CN"/>
        </w:rPr>
        <w:t>民法典</w:t>
      </w:r>
      <w:r>
        <w:rPr>
          <w:rFonts w:hint="eastAsia" w:ascii="宋体" w:hAnsi="宋体" w:eastAsia="宋体"/>
          <w:color w:val="auto"/>
          <w:sz w:val="21"/>
          <w:szCs w:val="21"/>
          <w:highlight w:val="none"/>
        </w:rPr>
        <w:t>》。</w:t>
      </w:r>
    </w:p>
    <w:p>
      <w:pPr>
        <w:widowControl w:val="0"/>
        <w:numPr>
          <w:ilvl w:val="1"/>
          <w:numId w:val="4"/>
        </w:numPr>
        <w:tabs>
          <w:tab w:val="left" w:pos="907"/>
        </w:tabs>
        <w:adjustRightInd/>
        <w:snapToGrid/>
        <w:spacing w:after="0" w:line="360" w:lineRule="exact"/>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合同签订之日起2个工作日内，中标人</w:t>
      </w:r>
      <w:r>
        <w:rPr>
          <w:rFonts w:hint="eastAsia" w:ascii="宋体" w:hAnsi="宋体" w:eastAsia="宋体"/>
          <w:b/>
          <w:color w:val="auto"/>
          <w:sz w:val="21"/>
          <w:szCs w:val="21"/>
          <w:highlight w:val="none"/>
          <w:lang w:eastAsia="zh-CN"/>
        </w:rPr>
        <w:t>应</w:t>
      </w:r>
      <w:r>
        <w:rPr>
          <w:rFonts w:hint="eastAsia" w:ascii="宋体" w:hAnsi="宋体" w:eastAsia="宋体"/>
          <w:b/>
          <w:color w:val="auto"/>
          <w:sz w:val="21"/>
          <w:szCs w:val="21"/>
          <w:highlight w:val="none"/>
        </w:rPr>
        <w:t>将所签订的合同副本（加盖公章）交至</w:t>
      </w:r>
      <w:r>
        <w:rPr>
          <w:rFonts w:hint="eastAsia" w:ascii="宋体" w:hAnsi="宋体" w:eastAsia="宋体"/>
          <w:b/>
          <w:color w:val="auto"/>
          <w:sz w:val="21"/>
          <w:szCs w:val="21"/>
          <w:highlight w:val="none"/>
          <w:lang w:eastAsia="zh-CN"/>
        </w:rPr>
        <w:t>三方诚信招标有限公司</w:t>
      </w:r>
      <w:r>
        <w:rPr>
          <w:rFonts w:hint="eastAsia" w:ascii="宋体" w:hAnsi="宋体" w:eastAsia="宋体"/>
          <w:b/>
          <w:color w:val="auto"/>
          <w:sz w:val="21"/>
          <w:szCs w:val="21"/>
          <w:highlight w:val="none"/>
        </w:rPr>
        <w:t>东莞分公司归档。</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投标人在评审结束当天至合同履行结束，若因不可抗力的因素（如国家出台新法律法规等）造成投标人资质的变动，投标人应以纸质版形式通知采购人。若资质变动导致中标投标人不再具备履行合同资质要求，采购人有权中止合同。</w:t>
      </w:r>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73" w:name="_Toc23764"/>
      <w:bookmarkStart w:id="74" w:name="_Toc29009"/>
      <w:bookmarkStart w:id="75" w:name="_Toc303084277"/>
      <w:bookmarkStart w:id="76" w:name="_Toc382049124"/>
      <w:r>
        <w:rPr>
          <w:rFonts w:hint="eastAsia" w:ascii="宋体" w:hAnsi="宋体" w:eastAsia="宋体"/>
          <w:color w:val="auto"/>
          <w:sz w:val="21"/>
          <w:szCs w:val="21"/>
          <w:highlight w:val="none"/>
        </w:rPr>
        <w:t>32.</w:t>
      </w:r>
      <w:r>
        <w:rPr>
          <w:rFonts w:ascii="宋体" w:hAnsi="宋体" w:eastAsia="宋体"/>
          <w:color w:val="auto"/>
          <w:sz w:val="21"/>
          <w:szCs w:val="21"/>
          <w:highlight w:val="none"/>
        </w:rPr>
        <w:t>履约</w:t>
      </w:r>
      <w:r>
        <w:rPr>
          <w:rFonts w:hint="eastAsia" w:ascii="宋体" w:hAnsi="宋体" w:eastAsia="宋体"/>
          <w:color w:val="auto"/>
          <w:sz w:val="21"/>
          <w:szCs w:val="21"/>
          <w:highlight w:val="none"/>
        </w:rPr>
        <w:t>保证金</w:t>
      </w:r>
      <w:bookmarkEnd w:id="73"/>
      <w:bookmarkEnd w:id="74"/>
      <w:bookmarkEnd w:id="75"/>
      <w:bookmarkEnd w:id="76"/>
    </w:p>
    <w:p>
      <w:pPr>
        <w:pStyle w:val="26"/>
        <w:widowControl w:val="0"/>
        <w:numPr>
          <w:ilvl w:val="0"/>
          <w:numId w:val="4"/>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应在领取中标通知书之后签订合同之前递交履约保证金（履约保函的提交与履约保证金的提交时间一致）。给采购人造成的损失超过投标担保数额的，还应当由其对超过部分予以赔偿，并依法追究其责任。中标人应在汇入履约保证金时在汇款单备注中注明：中标项目名称及中标项目编号。</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采用保证金（银行转帐、电汇）方式：中标人必须保证资金在签订合同前到帐。履约保证金账户采购人另行通知，到期后无息退还。</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采用履约保函方式：履约担保。是指由担保机构为供应商交纳履约保证金向采购人或采购代理机构提供的保证担保。供应商未按采购合同履行约定义务的，由担保机构按照担保函约定履行支付履约保证金的责任。</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中标人须将履约保证金的汇款凭证 (注明中标通知书或项目编号)或履约保函（采购人注明原件已收到并盖章）用A4纸复印一式四份并加盖中标人的公章送至采购代理机构。</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履约保证金退回：履约保证金在项目验收合格后，中标人向采购人提交退回履约保证金的申请、履约保证金汇款凭证复印件、采购合同、采购项目验收报告原件、中标通知书复印件，前往采购人办理履约保证金退还手续。</w:t>
      </w:r>
    </w:p>
    <w:p>
      <w:pPr>
        <w:rPr>
          <w:color w:val="auto"/>
          <w:highlight w:val="none"/>
        </w:rPr>
      </w:pPr>
    </w:p>
    <w:p>
      <w:pPr>
        <w:pStyle w:val="4"/>
        <w:numPr>
          <w:ilvl w:val="0"/>
          <w:numId w:val="3"/>
        </w:numPr>
        <w:spacing w:before="0" w:after="0" w:line="480" w:lineRule="auto"/>
        <w:jc w:val="center"/>
        <w:rPr>
          <w:rFonts w:ascii="宋体" w:hAnsi="宋体" w:eastAsia="宋体"/>
          <w:color w:val="auto"/>
          <w:highlight w:val="none"/>
        </w:rPr>
      </w:pPr>
      <w:bookmarkStart w:id="77" w:name="_Toc19464"/>
      <w:r>
        <w:rPr>
          <w:rFonts w:hint="eastAsia" w:ascii="宋体" w:hAnsi="宋体" w:eastAsia="宋体"/>
          <w:color w:val="auto"/>
          <w:highlight w:val="none"/>
        </w:rPr>
        <w:t>询问或质疑</w:t>
      </w:r>
      <w:bookmarkEnd w:id="77"/>
    </w:p>
    <w:p>
      <w:pPr>
        <w:pStyle w:val="5"/>
        <w:widowControl w:val="0"/>
        <w:overflowPunct w:val="0"/>
        <w:spacing w:before="0" w:after="0" w:line="240" w:lineRule="auto"/>
        <w:rPr>
          <w:rFonts w:ascii="宋体" w:hAnsi="宋体" w:eastAsia="宋体"/>
          <w:color w:val="auto"/>
          <w:sz w:val="21"/>
          <w:szCs w:val="21"/>
          <w:highlight w:val="none"/>
        </w:rPr>
      </w:pPr>
      <w:bookmarkStart w:id="78" w:name="_Toc27711"/>
      <w:r>
        <w:rPr>
          <w:rFonts w:hint="eastAsia" w:ascii="宋体" w:hAnsi="宋体" w:eastAsia="宋体"/>
          <w:color w:val="auto"/>
          <w:sz w:val="21"/>
          <w:szCs w:val="21"/>
          <w:highlight w:val="none"/>
        </w:rPr>
        <w:t>33.询问</w:t>
      </w:r>
      <w:bookmarkEnd w:id="78"/>
    </w:p>
    <w:p>
      <w:pPr>
        <w:pStyle w:val="26"/>
        <w:widowControl w:val="0"/>
        <w:numPr>
          <w:ilvl w:val="0"/>
          <w:numId w:val="4"/>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投标人对采购活动事项（</w:t>
      </w:r>
      <w:r>
        <w:rPr>
          <w:rFonts w:hint="eastAsia" w:ascii="宋体" w:hAnsi="宋体" w:eastAsia="宋体"/>
          <w:color w:val="auto"/>
          <w:sz w:val="21"/>
          <w:szCs w:val="21"/>
          <w:highlight w:val="none"/>
          <w:lang w:eastAsia="zh-CN"/>
        </w:rPr>
        <w:t>招标文件</w:t>
      </w:r>
      <w:r>
        <w:rPr>
          <w:rFonts w:hint="eastAsia" w:ascii="宋体" w:hAnsi="宋体" w:eastAsia="宋体"/>
          <w:color w:val="auto"/>
          <w:sz w:val="21"/>
          <w:szCs w:val="21"/>
          <w:highlight w:val="none"/>
        </w:rPr>
        <w:t>、采购过程和采购结果）有疑问的，可以按规定向采购代理机构提出询问。</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79" w:name="_Toc18644"/>
      <w:r>
        <w:rPr>
          <w:rFonts w:hint="eastAsia" w:ascii="宋体" w:hAnsi="宋体" w:eastAsia="宋体"/>
          <w:color w:val="auto"/>
          <w:sz w:val="21"/>
          <w:szCs w:val="21"/>
          <w:highlight w:val="none"/>
        </w:rPr>
        <w:t>34.质疑</w:t>
      </w:r>
      <w:bookmarkEnd w:id="79"/>
    </w:p>
    <w:p>
      <w:pPr>
        <w:pStyle w:val="26"/>
        <w:widowControl w:val="0"/>
        <w:numPr>
          <w:ilvl w:val="0"/>
          <w:numId w:val="4"/>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提出质疑的投标人应当是参与所质疑项目采购活动的供应商或是在规定的时间内已依法获取其可质疑的</w:t>
      </w:r>
      <w:r>
        <w:rPr>
          <w:rFonts w:hint="eastAsia" w:ascii="宋体" w:hAnsi="宋体" w:eastAsia="宋体"/>
          <w:color w:val="auto"/>
          <w:sz w:val="21"/>
          <w:szCs w:val="21"/>
          <w:highlight w:val="none"/>
          <w:lang w:eastAsia="zh-CN"/>
        </w:rPr>
        <w:t>招标文件</w:t>
      </w:r>
      <w:r>
        <w:rPr>
          <w:rFonts w:hint="eastAsia" w:ascii="宋体" w:hAnsi="宋体" w:eastAsia="宋体"/>
          <w:color w:val="auto"/>
          <w:sz w:val="21"/>
          <w:szCs w:val="21"/>
          <w:highlight w:val="none"/>
        </w:rPr>
        <w:t>的潜在供应商。</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供应商认为</w:t>
      </w:r>
      <w:r>
        <w:rPr>
          <w:rFonts w:hint="eastAsia" w:ascii="宋体" w:hAnsi="宋体" w:eastAsia="宋体"/>
          <w:color w:val="auto"/>
          <w:sz w:val="21"/>
          <w:szCs w:val="21"/>
          <w:highlight w:val="none"/>
          <w:lang w:eastAsia="zh-CN"/>
        </w:rPr>
        <w:t>招标文件</w:t>
      </w:r>
      <w:r>
        <w:rPr>
          <w:rFonts w:hint="eastAsia" w:ascii="宋体" w:hAnsi="宋体" w:eastAsia="宋体"/>
          <w:color w:val="auto"/>
          <w:sz w:val="21"/>
          <w:szCs w:val="21"/>
          <w:highlight w:val="none"/>
        </w:rPr>
        <w:t>、采购过程、中标或者成交结果使自己的权益受到损害的，可以在知道或者应知其权益受到损害之日起7个工作日内，以书面形式向采购人、采购代理机构提出质疑。超过规定时间提交的质疑函不予受理。</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投标人在法定质疑期内须一次性提出针对同一采购程序环节的质疑，对同一采购程序环节的二次质疑采购代理机构不予受理。</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将招标文件所规定的纸质版形式（质疑须提交以下资料并加盖投标人公章：质疑函原件、营业执照复印件、法人身份证复印件、联系方式及法人授权委托书原件加盖公章；若质疑由法人提交，则将提供法人授权委托书原件加盖公章更换为提供法人身份证复印件加盖公章且签字）的质疑按法律规定提交至采购代理机构指定办公地点。投标人以电话、传真或电邮形式提交的质疑属于无效质疑。</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授权委托书应当载明代理人的姓名或者名称、代理事项、具体权限、期限和相关事项。</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投标人提出质疑应当提交质疑函和必要的证明材料（须注明法律依据），因缺少相关证明材料或证明材料存在不真实而导致的后果由投标人自行承担。</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不涉及对投标人利益造成损害的相关内容，不能作为质疑内容提交。</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以联合体形式参加政府采购活动的，其质疑应当由组成联合体的所有投标人共同提出。</w:t>
      </w:r>
    </w:p>
    <w:p>
      <w:pPr>
        <w:rPr>
          <w:color w:val="auto"/>
          <w:highlight w:val="none"/>
        </w:rPr>
      </w:pPr>
    </w:p>
    <w:p>
      <w:pPr>
        <w:pStyle w:val="4"/>
        <w:numPr>
          <w:ilvl w:val="0"/>
          <w:numId w:val="3"/>
        </w:numPr>
        <w:spacing w:before="0" w:after="0" w:line="480" w:lineRule="auto"/>
        <w:jc w:val="center"/>
        <w:rPr>
          <w:rFonts w:ascii="宋体" w:hAnsi="宋体" w:eastAsia="宋体"/>
          <w:color w:val="auto"/>
          <w:highlight w:val="none"/>
        </w:rPr>
      </w:pPr>
      <w:bookmarkStart w:id="80" w:name="_Toc10071"/>
      <w:r>
        <w:rPr>
          <w:rFonts w:hint="eastAsia" w:ascii="宋体" w:hAnsi="宋体" w:eastAsia="宋体"/>
          <w:color w:val="auto"/>
          <w:highlight w:val="none"/>
        </w:rPr>
        <w:t>其他</w:t>
      </w:r>
      <w:bookmarkEnd w:id="80"/>
    </w:p>
    <w:p>
      <w:pPr>
        <w:pStyle w:val="5"/>
        <w:widowControl w:val="0"/>
        <w:overflowPunct w:val="0"/>
        <w:spacing w:before="0" w:after="0" w:line="240" w:lineRule="auto"/>
        <w:rPr>
          <w:rFonts w:ascii="宋体" w:hAnsi="宋体" w:eastAsia="宋体"/>
          <w:color w:val="auto"/>
          <w:sz w:val="21"/>
          <w:szCs w:val="21"/>
          <w:highlight w:val="none"/>
        </w:rPr>
      </w:pPr>
      <w:bookmarkStart w:id="81" w:name="_Toc27449"/>
      <w:r>
        <w:rPr>
          <w:rFonts w:hint="eastAsia" w:ascii="宋体" w:hAnsi="宋体" w:eastAsia="宋体"/>
          <w:color w:val="auto"/>
          <w:sz w:val="21"/>
          <w:szCs w:val="21"/>
          <w:highlight w:val="none"/>
        </w:rPr>
        <w:t>35.招标文件的解释权</w:t>
      </w:r>
      <w:bookmarkEnd w:id="81"/>
    </w:p>
    <w:p>
      <w:pPr>
        <w:pStyle w:val="26"/>
        <w:widowControl w:val="0"/>
        <w:numPr>
          <w:ilvl w:val="0"/>
          <w:numId w:val="4"/>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招标文件</w:t>
      </w:r>
      <w:r>
        <w:rPr>
          <w:rFonts w:hint="eastAsia" w:ascii="宋体" w:hAnsi="宋体" w:eastAsia="宋体"/>
          <w:color w:val="auto"/>
          <w:sz w:val="21"/>
          <w:szCs w:val="21"/>
          <w:highlight w:val="none"/>
        </w:rPr>
        <w:t>版本号：三方诚信20</w:t>
      </w:r>
      <w:r>
        <w:rPr>
          <w:rFonts w:hint="eastAsia" w:ascii="宋体" w:hAnsi="宋体" w:eastAsia="宋体"/>
          <w:color w:val="auto"/>
          <w:sz w:val="21"/>
          <w:szCs w:val="21"/>
          <w:highlight w:val="none"/>
          <w:lang w:val="en-US" w:eastAsia="zh-CN"/>
        </w:rPr>
        <w:t>210506</w:t>
      </w:r>
      <w:r>
        <w:rPr>
          <w:rFonts w:hint="eastAsia" w:ascii="宋体" w:hAnsi="宋体" w:eastAsia="宋体"/>
          <w:color w:val="auto"/>
          <w:sz w:val="21"/>
          <w:szCs w:val="21"/>
          <w:highlight w:val="none"/>
        </w:rPr>
        <w:t>。</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本</w:t>
      </w:r>
      <w:r>
        <w:rPr>
          <w:rFonts w:hint="eastAsia" w:ascii="宋体" w:hAnsi="宋体" w:eastAsia="宋体"/>
          <w:color w:val="auto"/>
          <w:sz w:val="21"/>
          <w:szCs w:val="21"/>
          <w:highlight w:val="none"/>
          <w:lang w:eastAsia="zh-CN"/>
        </w:rPr>
        <w:t>招标文件</w:t>
      </w:r>
      <w:r>
        <w:rPr>
          <w:rFonts w:hint="eastAsia" w:ascii="宋体" w:hAnsi="宋体" w:eastAsia="宋体"/>
          <w:color w:val="auto"/>
          <w:sz w:val="21"/>
          <w:szCs w:val="21"/>
          <w:highlight w:val="none"/>
        </w:rPr>
        <w:t>是根据国家有关法律、法规以及政府采购管理有关规定和参照国际惯例编制，解释权属本采购代理机构。</w:t>
      </w:r>
    </w:p>
    <w:p>
      <w:pPr>
        <w:widowControl w:val="0"/>
        <w:numPr>
          <w:ilvl w:val="1"/>
          <w:numId w:val="4"/>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3"/>
        <w:spacing w:before="0" w:after="0" w:line="240" w:lineRule="auto"/>
        <w:rPr>
          <w:color w:val="auto"/>
          <w:sz w:val="28"/>
          <w:szCs w:val="28"/>
          <w:highlight w:val="none"/>
        </w:rPr>
      </w:pPr>
      <w:bookmarkStart w:id="82" w:name="_Toc3263"/>
      <w:r>
        <w:rPr>
          <w:rFonts w:hint="eastAsia"/>
          <w:color w:val="auto"/>
          <w:sz w:val="28"/>
          <w:szCs w:val="28"/>
          <w:highlight w:val="none"/>
        </w:rPr>
        <w:t>第五部分 合同格式（仅供参考）</w:t>
      </w:r>
      <w:bookmarkEnd w:id="82"/>
      <w:bookmarkStart w:id="83" w:name="_Toc13430"/>
      <w:bookmarkStart w:id="84" w:name="_Toc1534"/>
      <w:bookmarkStart w:id="85" w:name="_Toc21155"/>
    </w:p>
    <w:p>
      <w:pPr>
        <w:pStyle w:val="4"/>
        <w:spacing w:before="0" w:after="0" w:line="240" w:lineRule="auto"/>
        <w:jc w:val="center"/>
        <w:rPr>
          <w:rFonts w:ascii="宋体" w:hAnsi="宋体" w:eastAsia="宋体" w:cs="宋体"/>
          <w:color w:val="auto"/>
          <w:highlight w:val="none"/>
        </w:rPr>
      </w:pPr>
      <w:bookmarkStart w:id="86" w:name="_Toc32348"/>
      <w:r>
        <w:rPr>
          <w:rFonts w:hint="eastAsia" w:ascii="宋体" w:hAnsi="宋体" w:eastAsia="宋体" w:cs="宋体"/>
          <w:color w:val="auto"/>
          <w:highlight w:val="none"/>
        </w:rPr>
        <w:t>合同格式</w:t>
      </w:r>
      <w:bookmarkEnd w:id="83"/>
      <w:bookmarkEnd w:id="84"/>
      <w:bookmarkEnd w:id="85"/>
      <w:bookmarkEnd w:id="86"/>
    </w:p>
    <w:p>
      <w:pPr>
        <w:spacing w:line="420" w:lineRule="atLeast"/>
        <w:ind w:right="560"/>
        <w:rPr>
          <w:rFonts w:ascii="宋体" w:hAnsi="宋体" w:eastAsia="宋体"/>
          <w:color w:val="auto"/>
          <w:sz w:val="21"/>
          <w:szCs w:val="21"/>
          <w:highlight w:val="none"/>
        </w:rPr>
      </w:pPr>
      <w:r>
        <w:rPr>
          <w:rFonts w:hint="eastAsia" w:ascii="宋体" w:hAnsi="宋体" w:eastAsia="宋体"/>
          <w:color w:val="auto"/>
          <w:sz w:val="21"/>
          <w:szCs w:val="21"/>
          <w:highlight w:val="none"/>
        </w:rPr>
        <w:t>合同编号：</w:t>
      </w:r>
    </w:p>
    <w:p>
      <w:pPr>
        <w:spacing w:line="420" w:lineRule="atLeast"/>
        <w:rPr>
          <w:rFonts w:ascii="宋体" w:hAnsi="宋体" w:eastAsia="宋体"/>
          <w:color w:val="auto"/>
          <w:sz w:val="21"/>
          <w:szCs w:val="21"/>
          <w:highlight w:val="none"/>
        </w:rPr>
      </w:pPr>
      <w:r>
        <w:rPr>
          <w:rFonts w:hint="eastAsia" w:ascii="宋体" w:hAnsi="宋体" w:eastAsia="宋体"/>
          <w:color w:val="auto"/>
          <w:sz w:val="21"/>
          <w:szCs w:val="21"/>
          <w:highlight w:val="none"/>
        </w:rPr>
        <w:t>甲方：</w:t>
      </w:r>
    </w:p>
    <w:p>
      <w:pPr>
        <w:spacing w:line="420" w:lineRule="atLeast"/>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乙方：“ </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”为中标单位</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受甲方委托，</w:t>
      </w:r>
      <w:r>
        <w:rPr>
          <w:rFonts w:hint="eastAsia" w:ascii="宋体" w:hAnsi="宋体" w:eastAsia="宋体"/>
          <w:color w:val="auto"/>
          <w:sz w:val="21"/>
          <w:szCs w:val="21"/>
          <w:highlight w:val="none"/>
          <w:u w:val="single"/>
        </w:rPr>
        <w:t xml:space="preserve">           (采购代理机构)</w:t>
      </w:r>
      <w:r>
        <w:rPr>
          <w:rFonts w:hint="eastAsia" w:ascii="宋体" w:hAnsi="宋体" w:eastAsia="宋体"/>
          <w:color w:val="auto"/>
          <w:sz w:val="21"/>
          <w:szCs w:val="21"/>
          <w:highlight w:val="none"/>
        </w:rPr>
        <w:t>组织对</w:t>
      </w:r>
      <w:r>
        <w:rPr>
          <w:rFonts w:hint="eastAsia" w:ascii="宋体" w:hAnsi="宋体" w:eastAsia="宋体"/>
          <w:color w:val="auto"/>
          <w:sz w:val="21"/>
          <w:szCs w:val="21"/>
          <w:highlight w:val="none"/>
          <w:u w:val="single"/>
        </w:rPr>
        <w:t xml:space="preserve">         （项目名称）</w:t>
      </w:r>
      <w:r>
        <w:rPr>
          <w:rFonts w:hint="eastAsia" w:ascii="宋体" w:hAnsi="宋体" w:eastAsia="宋体"/>
          <w:color w:val="auto"/>
          <w:sz w:val="21"/>
          <w:szCs w:val="21"/>
          <w:highlight w:val="none"/>
        </w:rPr>
        <w:t>采购项目（</w:t>
      </w:r>
      <w:r>
        <w:rPr>
          <w:rFonts w:hint="eastAsia" w:ascii="宋体" w:hAnsi="宋体" w:eastAsia="宋体"/>
          <w:color w:val="auto"/>
          <w:sz w:val="21"/>
          <w:szCs w:val="21"/>
          <w:highlight w:val="none"/>
          <w:lang w:eastAsia="zh-CN"/>
        </w:rPr>
        <w:t>采购项目编号</w:t>
      </w:r>
      <w:r>
        <w:rPr>
          <w:rFonts w:hint="eastAsia" w:ascii="宋体" w:hAnsi="宋体" w:eastAsia="宋体"/>
          <w:color w:val="auto"/>
          <w:sz w:val="21"/>
          <w:szCs w:val="21"/>
          <w:highlight w:val="none"/>
        </w:rPr>
        <w:t>为</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）进行采购，于</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日通过公开招标，经评标委员会评定乙方</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为中标单位。为了保护甲、乙双方合法权益，根据《中华人民共和国</w:t>
      </w:r>
      <w:r>
        <w:rPr>
          <w:rFonts w:hint="eastAsia" w:eastAsia="宋体"/>
          <w:color w:val="auto"/>
          <w:highlight w:val="none"/>
          <w:lang w:eastAsia="zh-CN"/>
        </w:rPr>
        <w:t>民法典</w:t>
      </w:r>
      <w:r>
        <w:rPr>
          <w:rFonts w:hint="eastAsia" w:ascii="宋体" w:hAnsi="宋体" w:eastAsia="宋体"/>
          <w:color w:val="auto"/>
          <w:sz w:val="21"/>
          <w:szCs w:val="21"/>
          <w:highlight w:val="none"/>
        </w:rPr>
        <w:t>》，在平等自愿的基础上，按照下面的条款和条件，签署本合同。</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第一条 合同项目</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1、项目名称：                       ；</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w:t>
      </w:r>
      <w:r>
        <w:rPr>
          <w:rFonts w:hint="eastAsia" w:ascii="宋体" w:hAnsi="宋体" w:eastAsia="宋体"/>
          <w:color w:val="auto"/>
          <w:sz w:val="21"/>
          <w:szCs w:val="21"/>
          <w:highlight w:val="none"/>
          <w:lang w:eastAsia="zh-CN"/>
        </w:rPr>
        <w:t>采购项目编号</w:t>
      </w:r>
      <w:r>
        <w:rPr>
          <w:rFonts w:hint="eastAsia" w:ascii="宋体" w:hAnsi="宋体" w:eastAsia="宋体"/>
          <w:color w:val="auto"/>
          <w:sz w:val="21"/>
          <w:szCs w:val="21"/>
          <w:highlight w:val="none"/>
        </w:rPr>
        <w:t>：                   。</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第二条 合同组成</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1、合同文件组成内容包括：本合同书 、中标通知书、投标文件（含澄清内容）、招标文件（含招标文件澄清通知）等。</w:t>
      </w:r>
    </w:p>
    <w:p>
      <w:pPr>
        <w:spacing w:after="0" w:line="360" w:lineRule="auto"/>
        <w:ind w:firstLine="422" w:firstLineChars="200"/>
        <w:rPr>
          <w:rFonts w:ascii="宋体" w:hAnsi="宋体" w:eastAsia="宋体"/>
          <w:b/>
          <w:color w:val="auto"/>
          <w:sz w:val="21"/>
          <w:szCs w:val="21"/>
          <w:highlight w:val="none"/>
        </w:rPr>
      </w:pPr>
      <w:bookmarkStart w:id="87" w:name="_Toc86481558"/>
      <w:r>
        <w:rPr>
          <w:rFonts w:hint="eastAsia" w:ascii="宋体" w:hAnsi="宋体" w:eastAsia="宋体"/>
          <w:b/>
          <w:color w:val="auto"/>
          <w:sz w:val="21"/>
          <w:szCs w:val="21"/>
          <w:highlight w:val="none"/>
        </w:rPr>
        <w:t>第三条 服务内容、标准及要求</w:t>
      </w:r>
    </w:p>
    <w:p>
      <w:pPr>
        <w:spacing w:after="0" w:line="360" w:lineRule="auto"/>
        <w:rPr>
          <w:rFonts w:ascii="宋体" w:hAnsi="宋体" w:eastAsia="宋体" w:cs="仿宋"/>
          <w:color w:val="auto"/>
          <w:sz w:val="21"/>
          <w:szCs w:val="21"/>
          <w:highlight w:val="none"/>
          <w:u w:val="single"/>
          <w:shd w:val="clear" w:color="auto" w:fill="FFFFFF"/>
        </w:rPr>
      </w:pPr>
      <w:r>
        <w:rPr>
          <w:rFonts w:hint="eastAsia" w:ascii="宋体" w:hAnsi="宋体" w:eastAsia="宋体" w:cs="仿宋"/>
          <w:color w:val="auto"/>
          <w:sz w:val="21"/>
          <w:szCs w:val="21"/>
          <w:highlight w:val="none"/>
          <w:shd w:val="clear" w:color="auto" w:fill="FFFFFF"/>
        </w:rPr>
        <w:t>1、采购内容：</w:t>
      </w:r>
      <w:r>
        <w:rPr>
          <w:rFonts w:hint="eastAsia" w:ascii="宋体" w:hAnsi="宋体" w:eastAsia="宋体" w:cs="仿宋"/>
          <w:color w:val="auto"/>
          <w:sz w:val="21"/>
          <w:szCs w:val="21"/>
          <w:highlight w:val="none"/>
          <w:u w:val="single"/>
          <w:shd w:val="clear" w:color="auto" w:fill="FFFFFF"/>
        </w:rPr>
        <w:t xml:space="preserve">                                                              。</w:t>
      </w:r>
    </w:p>
    <w:p>
      <w:pPr>
        <w:spacing w:after="0" w:line="360" w:lineRule="auto"/>
        <w:rPr>
          <w:rFonts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rPr>
        <w:t>2、采购标准：</w:t>
      </w:r>
      <w:r>
        <w:rPr>
          <w:rFonts w:hint="eastAsia" w:ascii="宋体" w:hAnsi="宋体" w:eastAsia="宋体" w:cs="仿宋"/>
          <w:color w:val="auto"/>
          <w:sz w:val="21"/>
          <w:szCs w:val="21"/>
          <w:highlight w:val="none"/>
          <w:u w:val="single"/>
          <w:shd w:val="clear" w:color="auto" w:fill="FFFFFF"/>
        </w:rPr>
        <w:t xml:space="preserve">                                                              。</w:t>
      </w:r>
    </w:p>
    <w:p>
      <w:pPr>
        <w:spacing w:after="0" w:line="360" w:lineRule="auto"/>
        <w:rPr>
          <w:rFonts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rPr>
        <w:t>3、采购要求：</w:t>
      </w:r>
      <w:r>
        <w:rPr>
          <w:rFonts w:hint="eastAsia" w:ascii="宋体" w:hAnsi="宋体" w:eastAsia="宋体" w:cs="仿宋"/>
          <w:color w:val="auto"/>
          <w:sz w:val="21"/>
          <w:szCs w:val="21"/>
          <w:highlight w:val="none"/>
          <w:u w:val="single"/>
          <w:shd w:val="clear" w:color="auto" w:fill="FFFFFF"/>
        </w:rPr>
        <w:t xml:space="preserve">                                                              。</w:t>
      </w:r>
    </w:p>
    <w:p>
      <w:pPr>
        <w:spacing w:after="0" w:line="360" w:lineRule="auto"/>
        <w:rPr>
          <w:rFonts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rPr>
        <w:t>4、具体采购内容采购标准及要求以招标文件用户需求书及乙方投标文件承诺条款及方案为准。</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第四条 价格</w:t>
      </w:r>
    </w:p>
    <w:p>
      <w:pPr>
        <w:spacing w:after="0" w:line="360" w:lineRule="auto"/>
        <w:ind w:firstLine="420" w:firstLineChars="200"/>
        <w:rPr>
          <w:rFonts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rPr>
        <w:t>1、合同总价包含：人工费、材料费、设备使用费、各种税费、保险费及合同实施过程中的不可预见费用等全部费用，按本次招标范围及中标价一次包干，结算时不作调整。</w:t>
      </w:r>
    </w:p>
    <w:p>
      <w:pPr>
        <w:spacing w:after="0" w:line="360" w:lineRule="auto"/>
        <w:ind w:firstLine="399" w:firstLineChars="19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2、合同总价：（人民币）大写 </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p>
    <w:p>
      <w:pPr>
        <w:spacing w:after="0" w:line="360" w:lineRule="auto"/>
        <w:ind w:firstLine="399" w:firstLineChars="190"/>
        <w:rPr>
          <w:rFonts w:ascii="宋体" w:hAnsi="宋体" w:eastAsia="宋体"/>
          <w:color w:val="auto"/>
          <w:sz w:val="21"/>
          <w:szCs w:val="21"/>
          <w:highlight w:val="none"/>
        </w:rPr>
      </w:pPr>
      <w:r>
        <w:rPr>
          <w:rFonts w:hint="eastAsia" w:ascii="宋体" w:hAnsi="宋体" w:eastAsia="宋体"/>
          <w:color w:val="auto"/>
          <w:sz w:val="21"/>
          <w:szCs w:val="21"/>
          <w:highlight w:val="none"/>
        </w:rPr>
        <w:t>3、本合同价为固定不变价。</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第五条 服务期限及地点</w:t>
      </w:r>
    </w:p>
    <w:p>
      <w:pPr>
        <w:spacing w:after="0" w:line="360" w:lineRule="auto"/>
        <w:ind w:firstLine="495" w:firstLineChars="236"/>
        <w:rPr>
          <w:rFonts w:ascii="宋体" w:hAnsi="宋体" w:eastAsia="宋体"/>
          <w:color w:val="auto"/>
          <w:sz w:val="21"/>
          <w:szCs w:val="21"/>
          <w:highlight w:val="none"/>
        </w:rPr>
      </w:pPr>
      <w:r>
        <w:rPr>
          <w:rFonts w:hint="eastAsia" w:ascii="宋体" w:hAnsi="宋体" w:eastAsia="宋体"/>
          <w:color w:val="auto"/>
          <w:sz w:val="21"/>
          <w:szCs w:val="21"/>
          <w:highlight w:val="none"/>
        </w:rPr>
        <w:t>1、服务期：  年，合同生效之日自       年  月  日至     年  月  日止。</w:t>
      </w:r>
    </w:p>
    <w:p>
      <w:pPr>
        <w:spacing w:after="0" w:line="360" w:lineRule="auto"/>
        <w:ind w:firstLine="495" w:firstLineChars="236"/>
        <w:rPr>
          <w:rFonts w:ascii="宋体" w:hAnsi="宋体" w:eastAsia="宋体"/>
          <w:color w:val="auto"/>
          <w:sz w:val="21"/>
          <w:szCs w:val="21"/>
          <w:highlight w:val="none"/>
        </w:rPr>
      </w:pPr>
      <w:r>
        <w:rPr>
          <w:rFonts w:hint="eastAsia" w:ascii="宋体" w:hAnsi="宋体" w:eastAsia="宋体"/>
          <w:color w:val="auto"/>
          <w:sz w:val="21"/>
          <w:szCs w:val="21"/>
          <w:highlight w:val="none"/>
        </w:rPr>
        <w:t>2、服务地点：              或甲方指定地点。</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第六条 付款方式</w:t>
      </w:r>
    </w:p>
    <w:p>
      <w:pPr>
        <w:pStyle w:val="16"/>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1、本合同的付款方式为：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w:t>
      </w:r>
    </w:p>
    <w:p>
      <w:pPr>
        <w:pStyle w:val="16"/>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付款前乙方应向甲方提出请款申请及所需的材料和等额合格发票。本合同的经费由政府拨款，如因政策影响，拨款未能及时到位，乙方不得以此为由而不履行本合同规定的义务。否则，甲方按规定扣罚。如果乙方怠于或者拒绝提供资料或者办理手续的，则因此产生的付款迟延的责任全部由乙方承担。</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第七条 验收方式</w:t>
      </w:r>
    </w:p>
    <w:p>
      <w:pPr>
        <w:pStyle w:val="16"/>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1、验收应在甲乙双方共同参加下进行，依据招标文件及本合同的有关规定制定的方案进行验收，并按国家有关规定、规范进行。</w:t>
      </w:r>
    </w:p>
    <w:p>
      <w:pPr>
        <w:pStyle w:val="16"/>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2、甲方组织项目验收小组按国家有关规定、规范进行验收，必要时邀请相关专业人员或机构参与验收。</w:t>
      </w:r>
    </w:p>
    <w:p>
      <w:pPr>
        <w:pStyle w:val="16"/>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3、对验收不合格的部分，乙方应在甲方规定时间内及时整改完善直至合格。</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第八条 税和关税</w:t>
      </w:r>
    </w:p>
    <w:p>
      <w:pPr>
        <w:pStyle w:val="16"/>
        <w:spacing w:line="360" w:lineRule="auto"/>
        <w:ind w:firstLine="482"/>
        <w:rPr>
          <w:rFonts w:ascii="宋体" w:hAnsi="宋体"/>
          <w:color w:val="auto"/>
          <w:sz w:val="21"/>
          <w:szCs w:val="21"/>
          <w:highlight w:val="none"/>
        </w:rPr>
      </w:pPr>
      <w:r>
        <w:rPr>
          <w:rFonts w:hint="eastAsia" w:ascii="宋体" w:hAnsi="宋体"/>
          <w:color w:val="auto"/>
          <w:sz w:val="21"/>
          <w:szCs w:val="21"/>
          <w:highlight w:val="none"/>
        </w:rPr>
        <w:t>1、中国政府根据现行税法对甲方征收的与本合同有关的一切税费均应由甲方承担。</w:t>
      </w:r>
    </w:p>
    <w:p>
      <w:pPr>
        <w:pStyle w:val="16"/>
        <w:spacing w:line="360" w:lineRule="auto"/>
        <w:ind w:firstLine="482"/>
        <w:rPr>
          <w:rFonts w:ascii="宋体" w:hAnsi="宋体"/>
          <w:color w:val="auto"/>
          <w:sz w:val="21"/>
          <w:szCs w:val="21"/>
          <w:highlight w:val="none"/>
        </w:rPr>
      </w:pPr>
      <w:r>
        <w:rPr>
          <w:rFonts w:hint="eastAsia" w:ascii="宋体" w:hAnsi="宋体"/>
          <w:color w:val="auto"/>
          <w:sz w:val="21"/>
          <w:szCs w:val="21"/>
          <w:highlight w:val="none"/>
        </w:rPr>
        <w:t>2、中国政府根据现行税法规定对乙方或其雇员征收的与本合同有关的一切税费应由乙方承担。</w:t>
      </w:r>
    </w:p>
    <w:p>
      <w:pPr>
        <w:pStyle w:val="16"/>
        <w:spacing w:line="360" w:lineRule="auto"/>
        <w:ind w:firstLine="482"/>
        <w:rPr>
          <w:rFonts w:ascii="宋体" w:hAnsi="宋体"/>
          <w:color w:val="auto"/>
          <w:sz w:val="21"/>
          <w:szCs w:val="21"/>
          <w:highlight w:val="none"/>
        </w:rPr>
      </w:pPr>
      <w:r>
        <w:rPr>
          <w:rFonts w:hint="eastAsia" w:ascii="宋体" w:hAnsi="宋体"/>
          <w:color w:val="auto"/>
          <w:sz w:val="21"/>
          <w:szCs w:val="21"/>
          <w:highlight w:val="none"/>
        </w:rPr>
        <w:t>3、在中国境外发生的与本合同执行有关的一切税费均应由乙方承担。</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第九条 其它约定</w:t>
      </w:r>
    </w:p>
    <w:p>
      <w:pPr>
        <w:spacing w:after="0" w:line="360" w:lineRule="auto"/>
        <w:ind w:firstLine="420" w:firstLineChars="200"/>
        <w:rPr>
          <w:rFonts w:ascii="宋体" w:hAnsi="宋体" w:eastAsia="宋体"/>
          <w:color w:val="auto"/>
          <w:sz w:val="21"/>
          <w:szCs w:val="21"/>
          <w:highlight w:val="none"/>
        </w:rPr>
      </w:pPr>
      <w:r>
        <w:rPr>
          <w:rFonts w:ascii="宋体" w:hAnsi="宋体" w:eastAsia="宋体"/>
          <w:color w:val="auto"/>
          <w:sz w:val="21"/>
          <w:szCs w:val="21"/>
          <w:highlight w:val="none"/>
        </w:rPr>
        <w:t>1</w:t>
      </w:r>
      <w:r>
        <w:rPr>
          <w:rFonts w:hint="eastAsia" w:ascii="宋体" w:hAnsi="宋体" w:eastAsia="宋体"/>
          <w:color w:val="auto"/>
          <w:sz w:val="21"/>
          <w:szCs w:val="21"/>
          <w:highlight w:val="none"/>
        </w:rPr>
        <w:t>、严禁转包，未经甲方书面同意不得分包。</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2、乙方全部工作人员，须符合东莞市政府用工标准要求。</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3、乙方服务人员进行服务期间的过失或故意行为，造成甲方经济损失的，由乙方负责赔偿。</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4、服务人员的劳动关系隶属乙方，乙方负责服务人员的工资、节假日和超时加班补助费、社会保险、住宿、伙食等。</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5、乙方负责本项目服务人员购买因意外身故或伤残和因意外事故住院治疗保险，并负责办理一切保险赔偿手续。</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第十条 违约责任</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1、合同双方任何一方不履行合同条款或不按合同约定履行条款的其它情况，均属违约，由违约方承担违约责任，赔偿因其违约造成的损失，并支付合同价款总额</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%的违约金。</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2、由于乙方的原因，导致双方签订的合同终止，乙方因此而遭受的损失，将由乙方独立承担，甲方对此不负任何责任，也不作任何赔偿。</w:t>
      </w:r>
    </w:p>
    <w:bookmarkEnd w:id="87"/>
    <w:p>
      <w:pPr>
        <w:spacing w:after="0" w:line="360" w:lineRule="auto"/>
        <w:ind w:firstLine="422" w:firstLineChars="200"/>
        <w:rPr>
          <w:rFonts w:ascii="宋体" w:hAnsi="宋体" w:eastAsia="宋体"/>
          <w:b/>
          <w:color w:val="auto"/>
          <w:sz w:val="21"/>
          <w:szCs w:val="21"/>
          <w:highlight w:val="none"/>
        </w:rPr>
      </w:pPr>
      <w:bookmarkStart w:id="88" w:name="_Toc86481570"/>
      <w:r>
        <w:rPr>
          <w:rFonts w:hint="eastAsia" w:ascii="宋体" w:hAnsi="宋体" w:eastAsia="宋体"/>
          <w:b/>
          <w:color w:val="auto"/>
          <w:sz w:val="21"/>
          <w:szCs w:val="21"/>
          <w:highlight w:val="none"/>
        </w:rPr>
        <w:t>第十一条 争议的解决</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1、凡与本合同有关而引起的一切争议，甲乙双方应首先通过友好协商解决，如经协商后仍不能达成协议时，任何一方可以向法院提出诉讼。</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2、本合同发生的诉讼管辖地为东莞市有管辖权的法院。</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3、在进行法院审理期间，除提交法院审理的事项外，合同其他部分仍继续履行。</w:t>
      </w:r>
    </w:p>
    <w:p>
      <w:pPr>
        <w:spacing w:after="0" w:line="360" w:lineRule="auto"/>
        <w:ind w:firstLine="420" w:firstLineChars="200"/>
        <w:rPr>
          <w:rFonts w:ascii="宋体" w:hAnsi="宋体" w:eastAsia="宋体" w:cs="仿宋"/>
          <w:color w:val="auto"/>
          <w:sz w:val="21"/>
          <w:szCs w:val="21"/>
          <w:highlight w:val="none"/>
          <w:shd w:val="clear" w:color="auto" w:fill="FFFFFF"/>
        </w:rPr>
      </w:pPr>
      <w:r>
        <w:rPr>
          <w:rFonts w:hint="eastAsia" w:ascii="宋体" w:hAnsi="宋体" w:eastAsia="宋体" w:cs="宋体"/>
          <w:color w:val="auto"/>
          <w:sz w:val="21"/>
          <w:szCs w:val="21"/>
          <w:highlight w:val="none"/>
        </w:rPr>
        <w:t>4、本合同按照中华人民共和国的法律进行解释</w:t>
      </w:r>
      <w:r>
        <w:rPr>
          <w:rFonts w:hint="eastAsia" w:ascii="宋体" w:hAnsi="宋体" w:eastAsia="宋体" w:cs="仿宋"/>
          <w:color w:val="auto"/>
          <w:sz w:val="21"/>
          <w:szCs w:val="21"/>
          <w:highlight w:val="none"/>
          <w:shd w:val="clear" w:color="auto" w:fill="FFFFFF"/>
        </w:rPr>
        <w:t>。</w:t>
      </w:r>
    </w:p>
    <w:p>
      <w:pPr>
        <w:spacing w:after="0" w:line="360" w:lineRule="auto"/>
        <w:ind w:firstLine="422" w:firstLineChars="200"/>
        <w:rPr>
          <w:rFonts w:ascii="宋体" w:hAnsi="宋体" w:eastAsia="宋体"/>
          <w:b/>
          <w:color w:val="auto"/>
          <w:sz w:val="21"/>
          <w:szCs w:val="21"/>
          <w:highlight w:val="none"/>
        </w:rPr>
      </w:pPr>
      <w:bookmarkStart w:id="89" w:name="_Toc86481569"/>
      <w:r>
        <w:rPr>
          <w:rFonts w:hint="eastAsia" w:ascii="宋体" w:hAnsi="宋体" w:eastAsia="宋体"/>
          <w:b/>
          <w:color w:val="auto"/>
          <w:sz w:val="21"/>
          <w:szCs w:val="21"/>
          <w:highlight w:val="none"/>
        </w:rPr>
        <w:t>第十二条 合同生效</w:t>
      </w:r>
      <w:bookmarkEnd w:id="89"/>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1、本合同由双方法定代表人或委托代理人签字盖章后立即生效，具有同等法律效力，合同有效期随服务期结束而自然终止。</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2、本合同一式    份，其中甲方    份、乙方    份，采购代理机构 壹 份（须在合同签订之日起7个工作日内递交）。</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第十三条 其它</w:t>
      </w:r>
      <w:bookmarkEnd w:id="88"/>
    </w:p>
    <w:p>
      <w:pPr>
        <w:spacing w:after="0" w:line="360" w:lineRule="auto"/>
        <w:ind w:firstLine="399" w:firstLineChars="190"/>
        <w:rPr>
          <w:rFonts w:ascii="宋体" w:hAnsi="宋体" w:eastAsia="宋体"/>
          <w:color w:val="auto"/>
          <w:sz w:val="21"/>
          <w:szCs w:val="21"/>
          <w:highlight w:val="none"/>
        </w:rPr>
      </w:pPr>
      <w:r>
        <w:rPr>
          <w:rFonts w:hint="eastAsia" w:ascii="宋体" w:hAnsi="宋体" w:eastAsia="宋体"/>
          <w:color w:val="auto"/>
          <w:sz w:val="21"/>
          <w:szCs w:val="21"/>
          <w:highlight w:val="none"/>
        </w:rPr>
        <w:t>1、本合同未尽事宜，双方可签订补充合同，补充合同与所有附件均为合同的有效组成部分，与本合同具有同等法律效力。</w:t>
      </w:r>
    </w:p>
    <w:p>
      <w:pPr>
        <w:spacing w:after="0" w:line="360" w:lineRule="auto"/>
        <w:ind w:firstLine="399" w:firstLineChars="190"/>
        <w:rPr>
          <w:rFonts w:ascii="宋体" w:hAnsi="宋体" w:eastAsia="宋体"/>
          <w:color w:val="auto"/>
          <w:sz w:val="21"/>
          <w:szCs w:val="21"/>
          <w:highlight w:val="none"/>
        </w:rPr>
      </w:pPr>
      <w:r>
        <w:rPr>
          <w:rFonts w:hint="eastAsia" w:ascii="宋体" w:hAnsi="宋体" w:eastAsia="宋体"/>
          <w:color w:val="auto"/>
          <w:sz w:val="21"/>
          <w:szCs w:val="21"/>
          <w:highlight w:val="none"/>
        </w:rPr>
        <w:t>2、在执行本合同的过程中，所有经甲乙双方签署确认的文件（包括会议纪要、补充协议、往来信函、合同附件等）即成为本合同的有效组成部分，其生效日期为双方签字盖章或确认之日期。</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本合同合计   页A4纸张，缺页之合同为无效合同。</w:t>
      </w:r>
    </w:p>
    <w:p>
      <w:pPr>
        <w:spacing w:after="0" w:line="360" w:lineRule="auto"/>
        <w:rPr>
          <w:rFonts w:hint="eastAsia" w:ascii="宋体" w:hAnsi="宋体" w:eastAsia="宋体"/>
          <w:color w:val="auto"/>
          <w:sz w:val="21"/>
          <w:szCs w:val="21"/>
          <w:highlight w:val="none"/>
        </w:rPr>
      </w:pP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甲方（盖章）：                      乙方（盖章）：</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法定代表(签字)：                   </w:t>
      </w:r>
      <w:r>
        <w:rPr>
          <w:rFonts w:hint="eastAsia" w:ascii="宋体" w:hAnsi="宋体" w:eastAsia="宋体"/>
          <w:color w:val="auto"/>
          <w:sz w:val="21"/>
          <w:szCs w:val="21"/>
          <w:highlight w:val="none"/>
          <w:lang w:val="en-US" w:eastAsia="zh-CN"/>
        </w:rPr>
        <w:t xml:space="preserve"> </w:t>
      </w:r>
      <w:r>
        <w:rPr>
          <w:rFonts w:hint="eastAsia" w:ascii="宋体" w:hAnsi="宋体" w:eastAsia="宋体"/>
          <w:color w:val="auto"/>
          <w:sz w:val="21"/>
          <w:szCs w:val="21"/>
          <w:highlight w:val="none"/>
        </w:rPr>
        <w:t>法定代表(签字)：</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地址：                            </w:t>
      </w:r>
      <w:r>
        <w:rPr>
          <w:rFonts w:hint="eastAsia" w:ascii="宋体" w:hAnsi="宋体" w:eastAsia="宋体"/>
          <w:color w:val="auto"/>
          <w:sz w:val="21"/>
          <w:szCs w:val="21"/>
          <w:highlight w:val="none"/>
          <w:lang w:val="en-US" w:eastAsia="zh-CN"/>
        </w:rPr>
        <w:t xml:space="preserve"> </w:t>
      </w:r>
      <w:r>
        <w:rPr>
          <w:rFonts w:hint="eastAsia" w:ascii="宋体" w:hAnsi="宋体" w:eastAsia="宋体"/>
          <w:color w:val="auto"/>
          <w:sz w:val="21"/>
          <w:szCs w:val="21"/>
          <w:highlight w:val="none"/>
        </w:rPr>
        <w:t xml:space="preserve"> 地址： </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电话：                            </w:t>
      </w:r>
      <w:r>
        <w:rPr>
          <w:rFonts w:hint="eastAsia" w:ascii="宋体" w:hAnsi="宋体" w:eastAsia="宋体"/>
          <w:color w:val="auto"/>
          <w:sz w:val="21"/>
          <w:szCs w:val="21"/>
          <w:highlight w:val="none"/>
          <w:lang w:val="en-US" w:eastAsia="zh-CN"/>
        </w:rPr>
        <w:t xml:space="preserve"> </w:t>
      </w:r>
      <w:r>
        <w:rPr>
          <w:rFonts w:hint="eastAsia" w:ascii="宋体" w:hAnsi="宋体" w:eastAsia="宋体"/>
          <w:color w:val="auto"/>
          <w:sz w:val="21"/>
          <w:szCs w:val="21"/>
          <w:highlight w:val="none"/>
        </w:rPr>
        <w:t xml:space="preserve"> 电话：</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传真：</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lang w:val="en-US" w:eastAsia="zh-CN"/>
        </w:rPr>
        <w:t xml:space="preserve"> </w:t>
      </w:r>
      <w:r>
        <w:rPr>
          <w:rFonts w:hint="eastAsia" w:ascii="宋体" w:hAnsi="宋体" w:eastAsia="宋体"/>
          <w:color w:val="auto"/>
          <w:sz w:val="21"/>
          <w:szCs w:val="21"/>
          <w:highlight w:val="none"/>
        </w:rPr>
        <w:t>传真：</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开户银行：</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 xml:space="preserve">                     </w:t>
      </w:r>
      <w:r>
        <w:rPr>
          <w:rFonts w:hint="eastAsia" w:ascii="宋体" w:hAnsi="宋体" w:eastAsia="宋体"/>
          <w:color w:val="auto"/>
          <w:sz w:val="21"/>
          <w:szCs w:val="21"/>
          <w:highlight w:val="none"/>
          <w:lang w:val="en-US" w:eastAsia="zh-CN"/>
        </w:rPr>
        <w:t xml:space="preserve"> </w:t>
      </w:r>
      <w:r>
        <w:rPr>
          <w:rFonts w:hint="eastAsia" w:ascii="宋体" w:hAnsi="宋体" w:eastAsia="宋体"/>
          <w:color w:val="auto"/>
          <w:sz w:val="21"/>
          <w:szCs w:val="21"/>
          <w:highlight w:val="none"/>
        </w:rPr>
        <w:t>开户银行：</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账号：                            </w:t>
      </w:r>
      <w:r>
        <w:rPr>
          <w:rFonts w:hint="eastAsia" w:ascii="宋体" w:hAnsi="宋体" w:eastAsia="宋体"/>
          <w:color w:val="auto"/>
          <w:sz w:val="21"/>
          <w:szCs w:val="21"/>
          <w:highlight w:val="none"/>
          <w:lang w:val="en-US" w:eastAsia="zh-CN"/>
        </w:rPr>
        <w:t xml:space="preserve"> </w:t>
      </w:r>
      <w:r>
        <w:rPr>
          <w:rFonts w:hint="eastAsia" w:ascii="宋体" w:hAnsi="宋体" w:eastAsia="宋体"/>
          <w:color w:val="auto"/>
          <w:sz w:val="21"/>
          <w:szCs w:val="21"/>
          <w:highlight w:val="none"/>
        </w:rPr>
        <w:t xml:space="preserve"> 账号：</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签约时间：</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签约地点：</w:t>
      </w:r>
    </w:p>
    <w:p>
      <w:pPr>
        <w:rPr>
          <w:rFonts w:hint="eastAsia" w:ascii="宋体" w:hAnsi="宋体" w:eastAsia="宋体"/>
          <w:b/>
          <w:color w:val="auto"/>
          <w:sz w:val="21"/>
          <w:szCs w:val="21"/>
          <w:highlight w:val="none"/>
        </w:rPr>
      </w:pPr>
    </w:p>
    <w:p>
      <w:pPr>
        <w:rPr>
          <w:rFonts w:ascii="宋体" w:hAnsi="宋体" w:eastAsia="宋体"/>
          <w:b/>
          <w:color w:val="auto"/>
          <w:sz w:val="21"/>
          <w:szCs w:val="21"/>
          <w:highlight w:val="none"/>
        </w:rPr>
      </w:pPr>
      <w:r>
        <w:rPr>
          <w:rFonts w:hint="eastAsia" w:ascii="宋体" w:hAnsi="宋体" w:eastAsia="宋体"/>
          <w:b/>
          <w:color w:val="auto"/>
          <w:sz w:val="21"/>
          <w:szCs w:val="21"/>
          <w:highlight w:val="none"/>
        </w:rPr>
        <w:t>此仅为合同书样本，中标人需根据实际情况和甲方签订相应的合同！</w:t>
      </w:r>
    </w:p>
    <w:p>
      <w:pPr>
        <w:rPr>
          <w:rFonts w:ascii="宋体" w:hAnsi="宋体" w:eastAsia="宋体"/>
          <w:b/>
          <w:color w:val="auto"/>
          <w:sz w:val="21"/>
          <w:szCs w:val="21"/>
          <w:highlight w:val="none"/>
        </w:rPr>
      </w:pPr>
      <w:r>
        <w:rPr>
          <w:rFonts w:hint="eastAsia" w:ascii="宋体" w:hAnsi="宋体" w:eastAsia="宋体"/>
          <w:b/>
          <w:color w:val="auto"/>
          <w:sz w:val="21"/>
          <w:szCs w:val="21"/>
          <w:highlight w:val="none"/>
        </w:rPr>
        <w:br w:type="page"/>
      </w:r>
    </w:p>
    <w:p>
      <w:pPr>
        <w:pStyle w:val="3"/>
        <w:spacing w:before="0" w:after="0" w:line="240" w:lineRule="auto"/>
        <w:rPr>
          <w:color w:val="auto"/>
          <w:sz w:val="28"/>
          <w:szCs w:val="28"/>
          <w:highlight w:val="none"/>
        </w:rPr>
      </w:pPr>
      <w:bookmarkStart w:id="90" w:name="_Toc3566"/>
      <w:r>
        <w:rPr>
          <w:rFonts w:hint="eastAsia"/>
          <w:color w:val="auto"/>
          <w:sz w:val="28"/>
          <w:szCs w:val="28"/>
          <w:highlight w:val="none"/>
        </w:rPr>
        <w:t>第六部分  附件－投标文件格式</w:t>
      </w:r>
      <w:bookmarkEnd w:id="90"/>
    </w:p>
    <w:p>
      <w:pPr>
        <w:rPr>
          <w:color w:val="auto"/>
          <w:highlight w:val="none"/>
        </w:rPr>
      </w:pPr>
    </w:p>
    <w:p>
      <w:pPr>
        <w:pStyle w:val="5"/>
        <w:widowControl w:val="0"/>
        <w:overflowPunct w:val="0"/>
        <w:spacing w:before="0" w:after="0" w:line="240" w:lineRule="auto"/>
        <w:rPr>
          <w:rFonts w:ascii="宋体" w:hAnsi="宋体" w:eastAsia="宋体"/>
          <w:color w:val="auto"/>
          <w:sz w:val="21"/>
          <w:szCs w:val="21"/>
          <w:highlight w:val="none"/>
        </w:rPr>
      </w:pPr>
      <w:bookmarkStart w:id="91" w:name="_Toc15661"/>
      <w:r>
        <w:rPr>
          <w:rFonts w:hint="eastAsia" w:ascii="宋体" w:hAnsi="宋体" w:eastAsia="宋体"/>
          <w:color w:val="auto"/>
          <w:sz w:val="21"/>
          <w:szCs w:val="21"/>
          <w:highlight w:val="none"/>
        </w:rPr>
        <w:t>附件1.投标文件目录</w:t>
      </w:r>
      <w:bookmarkEnd w:id="91"/>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目录</w:t>
      </w:r>
    </w:p>
    <w:p>
      <w:pPr>
        <w:adjustRightInd/>
        <w:snapToGrid/>
        <w:spacing w:line="276"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格式自理。</w:t>
      </w: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adjustRightInd/>
        <w:snapToGrid/>
        <w:spacing w:line="276" w:lineRule="auto"/>
        <w:rPr>
          <w:rFonts w:ascii="宋体" w:hAnsi="宋体" w:eastAsia="宋体"/>
          <w:color w:val="auto"/>
          <w:sz w:val="21"/>
          <w:szCs w:val="21"/>
          <w:highlight w:val="none"/>
        </w:rPr>
      </w:pPr>
      <w:r>
        <w:rPr>
          <w:rFonts w:hint="eastAsia" w:ascii="宋体" w:hAnsi="宋体" w:eastAsia="宋体"/>
          <w:color w:val="auto"/>
          <w:sz w:val="21"/>
          <w:szCs w:val="21"/>
          <w:highlight w:val="none"/>
        </w:rPr>
        <w:t>1、投标人制作的投标文件应当具备目录。</w:t>
      </w:r>
      <w:r>
        <w:rPr>
          <w:rFonts w:ascii="宋体" w:hAnsi="宋体" w:eastAsia="宋体"/>
          <w:color w:val="auto"/>
          <w:sz w:val="21"/>
          <w:szCs w:val="21"/>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92" w:name="_Toc13312"/>
      <w:r>
        <w:rPr>
          <w:rFonts w:hint="eastAsia" w:ascii="宋体" w:hAnsi="宋体" w:eastAsia="宋体"/>
          <w:color w:val="auto"/>
          <w:sz w:val="21"/>
          <w:szCs w:val="21"/>
          <w:highlight w:val="none"/>
        </w:rPr>
        <w:t>附件1-1 评分标准索引表</w:t>
      </w:r>
      <w:bookmarkEnd w:id="92"/>
    </w:p>
    <w:p>
      <w:pPr>
        <w:adjustRightInd/>
        <w:snapToGrid/>
        <w:spacing w:line="276" w:lineRule="auto"/>
        <w:rPr>
          <w:rFonts w:ascii="宋体" w:hAnsi="宋体" w:eastAsia="宋体"/>
          <w:color w:val="auto"/>
          <w:sz w:val="21"/>
          <w:szCs w:val="21"/>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评分标准索引表</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704" w:type="dxa"/>
            <w:vAlign w:val="center"/>
          </w:tcPr>
          <w:p>
            <w:pPr>
              <w:spacing w:after="0"/>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704" w:type="dxa"/>
            <w:vAlign w:val="center"/>
          </w:tcPr>
          <w:p>
            <w:pPr>
              <w:spacing w:after="0"/>
              <w:jc w:val="center"/>
              <w:rPr>
                <w:rFonts w:hint="eastAsia" w:ascii="宋体" w:hAnsi="宋体" w:eastAsia="宋体" w:cs="宋体"/>
                <w:color w:val="auto"/>
                <w:highlight w:val="none"/>
              </w:rPr>
            </w:pPr>
            <w:r>
              <w:rPr>
                <w:rFonts w:hint="eastAsia" w:ascii="宋体" w:hAnsi="宋体" w:eastAsia="宋体" w:cs="宋体"/>
                <w:color w:val="auto"/>
                <w:highlight w:val="none"/>
              </w:rPr>
              <w:t>评审项目</w:t>
            </w:r>
          </w:p>
        </w:tc>
        <w:tc>
          <w:tcPr>
            <w:tcW w:w="1704" w:type="dxa"/>
            <w:vAlign w:val="center"/>
          </w:tcPr>
          <w:p>
            <w:pPr>
              <w:spacing w:after="0"/>
              <w:jc w:val="center"/>
              <w:rPr>
                <w:rFonts w:hint="eastAsia" w:ascii="宋体" w:hAnsi="宋体" w:eastAsia="宋体" w:cs="宋体"/>
                <w:color w:val="auto"/>
                <w:highlight w:val="none"/>
              </w:rPr>
            </w:pPr>
            <w:r>
              <w:rPr>
                <w:rFonts w:hint="eastAsia" w:ascii="宋体" w:hAnsi="宋体" w:eastAsia="宋体" w:cs="宋体"/>
                <w:color w:val="auto"/>
                <w:highlight w:val="none"/>
              </w:rPr>
              <w:t>评分细则</w:t>
            </w:r>
          </w:p>
        </w:tc>
        <w:tc>
          <w:tcPr>
            <w:tcW w:w="1705" w:type="dxa"/>
            <w:vAlign w:val="center"/>
          </w:tcPr>
          <w:p>
            <w:pPr>
              <w:spacing w:after="0"/>
              <w:jc w:val="center"/>
              <w:rPr>
                <w:rFonts w:hint="eastAsia" w:ascii="宋体" w:hAnsi="宋体" w:eastAsia="宋体" w:cs="宋体"/>
                <w:color w:val="auto"/>
                <w:highlight w:val="none"/>
              </w:rPr>
            </w:pPr>
            <w:r>
              <w:rPr>
                <w:rFonts w:hint="eastAsia" w:ascii="宋体" w:hAnsi="宋体" w:eastAsia="宋体" w:cs="宋体"/>
                <w:color w:val="auto"/>
                <w:highlight w:val="none"/>
              </w:rPr>
              <w:t>分值</w:t>
            </w:r>
          </w:p>
        </w:tc>
        <w:tc>
          <w:tcPr>
            <w:tcW w:w="1705" w:type="dxa"/>
            <w:vAlign w:val="center"/>
          </w:tcPr>
          <w:p>
            <w:pPr>
              <w:spacing w:after="0"/>
              <w:jc w:val="center"/>
              <w:rPr>
                <w:rFonts w:hint="eastAsia" w:ascii="宋体" w:hAnsi="宋体" w:eastAsia="宋体" w:cs="宋体"/>
                <w:color w:val="auto"/>
                <w:highlight w:val="none"/>
              </w:rPr>
            </w:pPr>
            <w:r>
              <w:rPr>
                <w:rFonts w:hint="eastAsia" w:ascii="宋体" w:hAnsi="宋体" w:eastAsia="宋体" w:cs="宋体"/>
                <w:color w:val="auto"/>
                <w:highlight w:val="none"/>
              </w:rPr>
              <w:t>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pPr>
              <w:spacing w:after="0"/>
              <w:rPr>
                <w:rFonts w:hint="eastAsia" w:ascii="宋体" w:hAnsi="宋体" w:eastAsia="宋体" w:cs="宋体"/>
                <w:color w:val="auto"/>
                <w:highlight w:val="none"/>
              </w:rPr>
            </w:pPr>
            <w:r>
              <w:rPr>
                <w:rFonts w:hint="eastAsia" w:ascii="宋体" w:hAnsi="宋体" w:eastAsia="宋体" w:cs="宋体"/>
                <w:color w:val="auto"/>
                <w:highlight w:val="none"/>
              </w:rPr>
              <w:t>商务评审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hint="eastAsia" w:ascii="宋体" w:hAnsi="宋体" w:eastAsia="宋体" w:cs="宋体"/>
                <w:color w:val="auto"/>
                <w:highlight w:val="none"/>
              </w:rPr>
            </w:pPr>
          </w:p>
        </w:tc>
        <w:tc>
          <w:tcPr>
            <w:tcW w:w="1704" w:type="dxa"/>
            <w:vAlign w:val="center"/>
          </w:tcPr>
          <w:p>
            <w:pPr>
              <w:spacing w:after="0"/>
              <w:jc w:val="center"/>
              <w:rPr>
                <w:rFonts w:hint="eastAsia" w:ascii="宋体" w:hAnsi="宋体" w:eastAsia="宋体" w:cs="宋体"/>
                <w:color w:val="auto"/>
                <w:highlight w:val="none"/>
              </w:rPr>
            </w:pPr>
          </w:p>
        </w:tc>
        <w:tc>
          <w:tcPr>
            <w:tcW w:w="1704" w:type="dxa"/>
            <w:vAlign w:val="center"/>
          </w:tcPr>
          <w:p>
            <w:pPr>
              <w:spacing w:after="0"/>
              <w:jc w:val="center"/>
              <w:rPr>
                <w:rFonts w:hint="eastAsia" w:ascii="宋体" w:hAnsi="宋体" w:eastAsia="宋体" w:cs="宋体"/>
                <w:color w:val="auto"/>
                <w:highlight w:val="none"/>
              </w:rPr>
            </w:pPr>
          </w:p>
        </w:tc>
        <w:tc>
          <w:tcPr>
            <w:tcW w:w="1705" w:type="dxa"/>
            <w:vAlign w:val="center"/>
          </w:tcPr>
          <w:p>
            <w:pPr>
              <w:spacing w:after="0"/>
              <w:jc w:val="center"/>
              <w:rPr>
                <w:rFonts w:hint="eastAsia" w:ascii="宋体" w:hAnsi="宋体" w:eastAsia="宋体" w:cs="宋体"/>
                <w:color w:val="auto"/>
                <w:highlight w:val="none"/>
              </w:rPr>
            </w:pPr>
          </w:p>
        </w:tc>
        <w:tc>
          <w:tcPr>
            <w:tcW w:w="1705" w:type="dxa"/>
            <w:vAlign w:val="center"/>
          </w:tcPr>
          <w:p>
            <w:pPr>
              <w:spacing w:after="0"/>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hint="eastAsia" w:ascii="宋体" w:hAnsi="宋体" w:eastAsia="宋体" w:cs="宋体"/>
                <w:color w:val="auto"/>
                <w:highlight w:val="none"/>
              </w:rPr>
            </w:pPr>
          </w:p>
        </w:tc>
        <w:tc>
          <w:tcPr>
            <w:tcW w:w="1704" w:type="dxa"/>
            <w:vAlign w:val="center"/>
          </w:tcPr>
          <w:p>
            <w:pPr>
              <w:spacing w:after="0"/>
              <w:jc w:val="center"/>
              <w:rPr>
                <w:rFonts w:hint="eastAsia" w:ascii="宋体" w:hAnsi="宋体" w:eastAsia="宋体" w:cs="宋体"/>
                <w:color w:val="auto"/>
                <w:highlight w:val="none"/>
              </w:rPr>
            </w:pPr>
          </w:p>
        </w:tc>
        <w:tc>
          <w:tcPr>
            <w:tcW w:w="1704" w:type="dxa"/>
            <w:vAlign w:val="center"/>
          </w:tcPr>
          <w:p>
            <w:pPr>
              <w:spacing w:after="0"/>
              <w:jc w:val="center"/>
              <w:rPr>
                <w:rFonts w:hint="eastAsia" w:ascii="宋体" w:hAnsi="宋体" w:eastAsia="宋体" w:cs="宋体"/>
                <w:color w:val="auto"/>
                <w:highlight w:val="none"/>
              </w:rPr>
            </w:pPr>
          </w:p>
        </w:tc>
        <w:tc>
          <w:tcPr>
            <w:tcW w:w="1705" w:type="dxa"/>
            <w:vAlign w:val="center"/>
          </w:tcPr>
          <w:p>
            <w:pPr>
              <w:spacing w:after="0"/>
              <w:jc w:val="center"/>
              <w:rPr>
                <w:rFonts w:hint="eastAsia" w:ascii="宋体" w:hAnsi="宋体" w:eastAsia="宋体" w:cs="宋体"/>
                <w:color w:val="auto"/>
                <w:highlight w:val="none"/>
              </w:rPr>
            </w:pPr>
          </w:p>
        </w:tc>
        <w:tc>
          <w:tcPr>
            <w:tcW w:w="1705" w:type="dxa"/>
            <w:vAlign w:val="center"/>
          </w:tcPr>
          <w:p>
            <w:pPr>
              <w:spacing w:after="0"/>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hint="eastAsia" w:ascii="宋体" w:hAnsi="宋体" w:eastAsia="宋体" w:cs="宋体"/>
                <w:color w:val="auto"/>
                <w:highlight w:val="none"/>
              </w:rPr>
            </w:pPr>
          </w:p>
        </w:tc>
        <w:tc>
          <w:tcPr>
            <w:tcW w:w="1704" w:type="dxa"/>
            <w:vAlign w:val="center"/>
          </w:tcPr>
          <w:p>
            <w:pPr>
              <w:spacing w:after="0"/>
              <w:jc w:val="center"/>
              <w:rPr>
                <w:rFonts w:hint="eastAsia" w:ascii="宋体" w:hAnsi="宋体" w:eastAsia="宋体" w:cs="宋体"/>
                <w:color w:val="auto"/>
                <w:highlight w:val="none"/>
              </w:rPr>
            </w:pPr>
          </w:p>
        </w:tc>
        <w:tc>
          <w:tcPr>
            <w:tcW w:w="1704" w:type="dxa"/>
            <w:vAlign w:val="center"/>
          </w:tcPr>
          <w:p>
            <w:pPr>
              <w:spacing w:after="0"/>
              <w:jc w:val="center"/>
              <w:rPr>
                <w:rFonts w:hint="eastAsia" w:ascii="宋体" w:hAnsi="宋体" w:eastAsia="宋体" w:cs="宋体"/>
                <w:color w:val="auto"/>
                <w:highlight w:val="none"/>
              </w:rPr>
            </w:pPr>
          </w:p>
        </w:tc>
        <w:tc>
          <w:tcPr>
            <w:tcW w:w="1705" w:type="dxa"/>
            <w:vAlign w:val="center"/>
          </w:tcPr>
          <w:p>
            <w:pPr>
              <w:spacing w:after="0"/>
              <w:jc w:val="center"/>
              <w:rPr>
                <w:rFonts w:hint="eastAsia" w:ascii="宋体" w:hAnsi="宋体" w:eastAsia="宋体" w:cs="宋体"/>
                <w:color w:val="auto"/>
                <w:highlight w:val="none"/>
              </w:rPr>
            </w:pPr>
          </w:p>
        </w:tc>
        <w:tc>
          <w:tcPr>
            <w:tcW w:w="1705" w:type="dxa"/>
            <w:vAlign w:val="center"/>
          </w:tcPr>
          <w:p>
            <w:pPr>
              <w:spacing w:after="0"/>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pPr>
              <w:spacing w:after="0"/>
              <w:rPr>
                <w:rFonts w:hint="eastAsia" w:ascii="宋体" w:hAnsi="宋体" w:eastAsia="宋体" w:cs="宋体"/>
                <w:color w:val="auto"/>
                <w:highlight w:val="none"/>
              </w:rPr>
            </w:pPr>
            <w:r>
              <w:rPr>
                <w:rFonts w:hint="eastAsia" w:ascii="宋体" w:hAnsi="宋体" w:eastAsia="宋体" w:cs="宋体"/>
                <w:color w:val="auto"/>
                <w:highlight w:val="none"/>
              </w:rPr>
              <w:t>技术评审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hint="eastAsia" w:ascii="宋体" w:hAnsi="宋体" w:eastAsia="宋体" w:cs="宋体"/>
                <w:color w:val="auto"/>
                <w:highlight w:val="none"/>
              </w:rPr>
            </w:pPr>
          </w:p>
        </w:tc>
        <w:tc>
          <w:tcPr>
            <w:tcW w:w="1704" w:type="dxa"/>
            <w:vAlign w:val="center"/>
          </w:tcPr>
          <w:p>
            <w:pPr>
              <w:spacing w:after="0"/>
              <w:jc w:val="center"/>
              <w:rPr>
                <w:rFonts w:hint="eastAsia" w:ascii="宋体" w:hAnsi="宋体" w:eastAsia="宋体" w:cs="宋体"/>
                <w:color w:val="auto"/>
                <w:highlight w:val="none"/>
              </w:rPr>
            </w:pPr>
          </w:p>
        </w:tc>
        <w:tc>
          <w:tcPr>
            <w:tcW w:w="1704" w:type="dxa"/>
            <w:vAlign w:val="center"/>
          </w:tcPr>
          <w:p>
            <w:pPr>
              <w:spacing w:after="0"/>
              <w:jc w:val="center"/>
              <w:rPr>
                <w:rFonts w:hint="eastAsia" w:ascii="宋体" w:hAnsi="宋体" w:eastAsia="宋体" w:cs="宋体"/>
                <w:color w:val="auto"/>
                <w:highlight w:val="none"/>
              </w:rPr>
            </w:pPr>
          </w:p>
        </w:tc>
        <w:tc>
          <w:tcPr>
            <w:tcW w:w="1705" w:type="dxa"/>
            <w:vAlign w:val="center"/>
          </w:tcPr>
          <w:p>
            <w:pPr>
              <w:spacing w:after="0"/>
              <w:jc w:val="center"/>
              <w:rPr>
                <w:rFonts w:hint="eastAsia" w:ascii="宋体" w:hAnsi="宋体" w:eastAsia="宋体" w:cs="宋体"/>
                <w:color w:val="auto"/>
                <w:highlight w:val="none"/>
              </w:rPr>
            </w:pPr>
          </w:p>
        </w:tc>
        <w:tc>
          <w:tcPr>
            <w:tcW w:w="1705" w:type="dxa"/>
            <w:vAlign w:val="center"/>
          </w:tcPr>
          <w:p>
            <w:pPr>
              <w:spacing w:after="0"/>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hint="eastAsia" w:ascii="宋体" w:hAnsi="宋体" w:eastAsia="宋体" w:cs="宋体"/>
                <w:color w:val="auto"/>
                <w:highlight w:val="none"/>
              </w:rPr>
            </w:pPr>
          </w:p>
        </w:tc>
        <w:tc>
          <w:tcPr>
            <w:tcW w:w="1704" w:type="dxa"/>
            <w:vAlign w:val="center"/>
          </w:tcPr>
          <w:p>
            <w:pPr>
              <w:spacing w:after="0"/>
              <w:jc w:val="center"/>
              <w:rPr>
                <w:rFonts w:hint="eastAsia" w:ascii="宋体" w:hAnsi="宋体" w:eastAsia="宋体" w:cs="宋体"/>
                <w:color w:val="auto"/>
                <w:highlight w:val="none"/>
              </w:rPr>
            </w:pPr>
          </w:p>
        </w:tc>
        <w:tc>
          <w:tcPr>
            <w:tcW w:w="1704" w:type="dxa"/>
            <w:vAlign w:val="center"/>
          </w:tcPr>
          <w:p>
            <w:pPr>
              <w:spacing w:after="0"/>
              <w:jc w:val="center"/>
              <w:rPr>
                <w:rFonts w:hint="eastAsia" w:ascii="宋体" w:hAnsi="宋体" w:eastAsia="宋体" w:cs="宋体"/>
                <w:color w:val="auto"/>
                <w:highlight w:val="none"/>
              </w:rPr>
            </w:pPr>
          </w:p>
        </w:tc>
        <w:tc>
          <w:tcPr>
            <w:tcW w:w="1705" w:type="dxa"/>
            <w:vAlign w:val="center"/>
          </w:tcPr>
          <w:p>
            <w:pPr>
              <w:spacing w:after="0"/>
              <w:jc w:val="center"/>
              <w:rPr>
                <w:rFonts w:hint="eastAsia" w:ascii="宋体" w:hAnsi="宋体" w:eastAsia="宋体" w:cs="宋体"/>
                <w:color w:val="auto"/>
                <w:highlight w:val="none"/>
              </w:rPr>
            </w:pPr>
          </w:p>
        </w:tc>
        <w:tc>
          <w:tcPr>
            <w:tcW w:w="1705" w:type="dxa"/>
            <w:vAlign w:val="center"/>
          </w:tcPr>
          <w:p>
            <w:pPr>
              <w:spacing w:after="0"/>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hint="eastAsia" w:ascii="宋体" w:hAnsi="宋体" w:eastAsia="宋体" w:cs="宋体"/>
                <w:color w:val="auto"/>
                <w:highlight w:val="none"/>
              </w:rPr>
            </w:pPr>
          </w:p>
        </w:tc>
        <w:tc>
          <w:tcPr>
            <w:tcW w:w="1704" w:type="dxa"/>
            <w:vAlign w:val="center"/>
          </w:tcPr>
          <w:p>
            <w:pPr>
              <w:spacing w:after="0"/>
              <w:jc w:val="center"/>
              <w:rPr>
                <w:rFonts w:hint="eastAsia" w:ascii="宋体" w:hAnsi="宋体" w:eastAsia="宋体" w:cs="宋体"/>
                <w:color w:val="auto"/>
                <w:highlight w:val="none"/>
              </w:rPr>
            </w:pPr>
          </w:p>
        </w:tc>
        <w:tc>
          <w:tcPr>
            <w:tcW w:w="1704" w:type="dxa"/>
            <w:vAlign w:val="center"/>
          </w:tcPr>
          <w:p>
            <w:pPr>
              <w:spacing w:after="0"/>
              <w:jc w:val="center"/>
              <w:rPr>
                <w:rFonts w:hint="eastAsia" w:ascii="宋体" w:hAnsi="宋体" w:eastAsia="宋体" w:cs="宋体"/>
                <w:color w:val="auto"/>
                <w:highlight w:val="none"/>
              </w:rPr>
            </w:pPr>
          </w:p>
        </w:tc>
        <w:tc>
          <w:tcPr>
            <w:tcW w:w="1705" w:type="dxa"/>
            <w:vAlign w:val="center"/>
          </w:tcPr>
          <w:p>
            <w:pPr>
              <w:spacing w:after="0"/>
              <w:jc w:val="center"/>
              <w:rPr>
                <w:rFonts w:hint="eastAsia" w:ascii="宋体" w:hAnsi="宋体" w:eastAsia="宋体" w:cs="宋体"/>
                <w:color w:val="auto"/>
                <w:highlight w:val="none"/>
              </w:rPr>
            </w:pPr>
          </w:p>
        </w:tc>
        <w:tc>
          <w:tcPr>
            <w:tcW w:w="1705" w:type="dxa"/>
            <w:vAlign w:val="center"/>
          </w:tcPr>
          <w:p>
            <w:pPr>
              <w:spacing w:after="0"/>
              <w:jc w:val="center"/>
              <w:rPr>
                <w:rFonts w:hint="eastAsia" w:ascii="宋体" w:hAnsi="宋体" w:eastAsia="宋体" w:cs="宋体"/>
                <w:color w:val="auto"/>
                <w:highlight w:val="none"/>
              </w:rPr>
            </w:pPr>
          </w:p>
        </w:tc>
      </w:tr>
    </w:tbl>
    <w:p>
      <w:pPr>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keepNext w:val="0"/>
        <w:keepLines w:val="0"/>
        <w:pageBreakBefore w:val="0"/>
        <w:widowControl/>
        <w:numPr>
          <w:ilvl w:val="0"/>
          <w:numId w:val="8"/>
        </w:numPr>
        <w:kinsoku/>
        <w:wordWrap/>
        <w:overflowPunct/>
        <w:topLinePunct w:val="0"/>
        <w:autoSpaceDE/>
        <w:autoSpaceDN/>
        <w:bidi w:val="0"/>
        <w:adjustRightInd w:val="0"/>
        <w:snapToGrid w:val="0"/>
        <w:ind w:left="0"/>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该表格为参考格式，投标人可按实际情况自行制订评分标准索引表。</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before="0"/>
        <w:textAlignment w:val="auto"/>
        <w:rPr>
          <w:color w:val="auto"/>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r>
        <w:rPr>
          <w:rFonts w:ascii="宋体" w:hAnsi="宋体" w:eastAsia="宋体"/>
          <w:color w:val="auto"/>
          <w:sz w:val="21"/>
          <w:szCs w:val="21"/>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93" w:name="_Toc9857"/>
      <w:r>
        <w:rPr>
          <w:rFonts w:hint="eastAsia" w:ascii="宋体" w:hAnsi="宋体" w:eastAsia="宋体"/>
          <w:color w:val="auto"/>
          <w:sz w:val="21"/>
          <w:szCs w:val="21"/>
          <w:highlight w:val="none"/>
        </w:rPr>
        <w:t>附件2.投标书格式</w:t>
      </w:r>
      <w:bookmarkEnd w:id="93"/>
    </w:p>
    <w:p>
      <w:pPr>
        <w:jc w:val="center"/>
        <w:rPr>
          <w:rFonts w:ascii="宋体" w:hAnsi="宋体" w:eastAsia="宋体"/>
          <w:color w:val="auto"/>
          <w:sz w:val="21"/>
          <w:szCs w:val="21"/>
          <w:highlight w:val="none"/>
        </w:rPr>
      </w:pPr>
      <w:r>
        <w:rPr>
          <w:rFonts w:hint="eastAsia" w:ascii="黑体" w:eastAsia="黑体"/>
          <w:color w:val="auto"/>
          <w:sz w:val="32"/>
          <w:szCs w:val="32"/>
          <w:highlight w:val="none"/>
        </w:rPr>
        <w:t>投标书</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致：</w:t>
      </w:r>
      <w:r>
        <w:rPr>
          <w:rFonts w:hint="eastAsia" w:ascii="宋体" w:hAnsi="宋体" w:eastAsia="宋体"/>
          <w:color w:val="auto"/>
          <w:sz w:val="21"/>
          <w:szCs w:val="21"/>
          <w:highlight w:val="none"/>
          <w:lang w:eastAsia="zh-CN"/>
        </w:rPr>
        <w:t>三方诚信招标有限公司</w:t>
      </w:r>
      <w:r>
        <w:rPr>
          <w:rFonts w:hint="eastAsia" w:ascii="宋体" w:hAnsi="宋体" w:eastAsia="宋体"/>
          <w:color w:val="auto"/>
          <w:sz w:val="21"/>
          <w:szCs w:val="21"/>
          <w:highlight w:val="none"/>
        </w:rPr>
        <w:t>东莞分公司：</w:t>
      </w:r>
    </w:p>
    <w:p>
      <w:pPr>
        <w:spacing w:after="0" w:line="360" w:lineRule="auto"/>
        <w:rPr>
          <w:rFonts w:ascii="宋体" w:hAnsi="宋体" w:eastAsia="宋体"/>
          <w:color w:val="auto"/>
          <w:sz w:val="21"/>
          <w:szCs w:val="21"/>
          <w:highlight w:val="none"/>
        </w:rPr>
      </w:pP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根据贵方为</w:t>
      </w:r>
      <w:r>
        <w:rPr>
          <w:rFonts w:hint="eastAsia" w:ascii="宋体" w:hAnsi="宋体" w:eastAsia="宋体"/>
          <w:color w:val="auto"/>
          <w:sz w:val="21"/>
          <w:szCs w:val="21"/>
          <w:highlight w:val="none"/>
          <w:u w:val="single"/>
        </w:rPr>
        <w:t>（项目名称）（</w:t>
      </w:r>
      <w:r>
        <w:rPr>
          <w:rFonts w:hint="eastAsia" w:ascii="宋体" w:hAnsi="宋体" w:eastAsia="宋体"/>
          <w:color w:val="auto"/>
          <w:sz w:val="21"/>
          <w:szCs w:val="21"/>
          <w:highlight w:val="none"/>
          <w:u w:val="single"/>
          <w:lang w:eastAsia="zh-CN"/>
        </w:rPr>
        <w:t>采购项目编号</w:t>
      </w:r>
      <w:r>
        <w:rPr>
          <w:rFonts w:hint="eastAsia" w:ascii="宋体" w:hAnsi="宋体" w:eastAsia="宋体"/>
          <w:color w:val="auto"/>
          <w:sz w:val="21"/>
          <w:szCs w:val="21"/>
          <w:highlight w:val="none"/>
          <w:u w:val="single"/>
        </w:rPr>
        <w:t>）</w:t>
      </w:r>
      <w:r>
        <w:rPr>
          <w:rFonts w:hint="eastAsia" w:ascii="宋体" w:hAnsi="宋体" w:eastAsia="宋体"/>
          <w:color w:val="auto"/>
          <w:sz w:val="21"/>
          <w:szCs w:val="21"/>
          <w:highlight w:val="none"/>
        </w:rPr>
        <w:t>项目招标公告/招标邀请，签字代表</w:t>
      </w:r>
      <w:r>
        <w:rPr>
          <w:rFonts w:hint="eastAsia" w:ascii="宋体" w:hAnsi="宋体" w:eastAsia="宋体"/>
          <w:color w:val="auto"/>
          <w:sz w:val="21"/>
          <w:szCs w:val="21"/>
          <w:highlight w:val="none"/>
          <w:u w:val="single"/>
        </w:rPr>
        <w:t>（姓名、职务）</w:t>
      </w:r>
      <w:r>
        <w:rPr>
          <w:rFonts w:hint="eastAsia" w:ascii="宋体" w:hAnsi="宋体" w:eastAsia="宋体"/>
          <w:color w:val="auto"/>
          <w:sz w:val="21"/>
          <w:szCs w:val="21"/>
          <w:highlight w:val="none"/>
        </w:rPr>
        <w:t>经正式授权并代表投标人</w:t>
      </w:r>
      <w:r>
        <w:rPr>
          <w:rFonts w:hint="eastAsia" w:ascii="宋体" w:hAnsi="宋体" w:eastAsia="宋体"/>
          <w:color w:val="auto"/>
          <w:sz w:val="21"/>
          <w:szCs w:val="21"/>
          <w:highlight w:val="none"/>
          <w:u w:val="single"/>
        </w:rPr>
        <w:t>（投标人名称、地址）</w:t>
      </w:r>
      <w:r>
        <w:rPr>
          <w:rFonts w:hint="eastAsia" w:ascii="宋体" w:hAnsi="宋体" w:eastAsia="宋体"/>
          <w:color w:val="auto"/>
          <w:sz w:val="21"/>
          <w:szCs w:val="21"/>
          <w:highlight w:val="none"/>
        </w:rPr>
        <w:t>提交投标文件及“开标文件”：</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在此，签字代表宣布同意如下： </w:t>
      </w:r>
    </w:p>
    <w:p>
      <w:pPr>
        <w:widowControl w:val="0"/>
        <w:numPr>
          <w:ilvl w:val="0"/>
          <w:numId w:val="9"/>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我方将按招标文件的规定履行合同责任和义务。 </w:t>
      </w:r>
    </w:p>
    <w:p>
      <w:pPr>
        <w:widowControl w:val="0"/>
        <w:numPr>
          <w:ilvl w:val="0"/>
          <w:numId w:val="9"/>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我方已完整阅读了本项目招标文件的所有内容（包括澄清，以及所有已提供的参考资料和有关附件），并完全理解上述文件所表达的意思，该项目递交投标文件时间截止后，我方承诺不再对上述文件内容进行询问或质疑。</w:t>
      </w:r>
      <w:r>
        <w:rPr>
          <w:rFonts w:hint="eastAsia" w:ascii="宋体" w:hAnsi="宋体" w:eastAsia="宋体"/>
          <w:color w:val="auto"/>
          <w:sz w:val="21"/>
          <w:szCs w:val="21"/>
          <w:highlight w:val="none"/>
        </w:rPr>
        <w:t xml:space="preserve"> </w:t>
      </w:r>
    </w:p>
    <w:p>
      <w:pPr>
        <w:widowControl w:val="0"/>
        <w:numPr>
          <w:ilvl w:val="0"/>
          <w:numId w:val="9"/>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本投标有效期为自开标日起</w:t>
      </w:r>
      <w:r>
        <w:rPr>
          <w:rFonts w:hint="eastAsia" w:ascii="宋体" w:hAnsi="宋体" w:eastAsia="宋体"/>
          <w:color w:val="auto"/>
          <w:sz w:val="21"/>
          <w:szCs w:val="21"/>
          <w:highlight w:val="none"/>
          <w:u w:val="single"/>
          <w:lang w:val="en-US" w:eastAsia="zh-CN"/>
        </w:rPr>
        <w:t xml:space="preserve">    </w:t>
      </w:r>
      <w:r>
        <w:rPr>
          <w:rFonts w:hint="eastAsia" w:ascii="宋体" w:hAnsi="宋体" w:eastAsia="宋体"/>
          <w:color w:val="auto"/>
          <w:sz w:val="21"/>
          <w:szCs w:val="21"/>
          <w:highlight w:val="none"/>
        </w:rPr>
        <w:t xml:space="preserve">个日历日。 </w:t>
      </w:r>
    </w:p>
    <w:p>
      <w:pPr>
        <w:widowControl w:val="0"/>
        <w:numPr>
          <w:ilvl w:val="0"/>
          <w:numId w:val="9"/>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我方保证遵守投标人须知中关于没收投标保证金的规定。</w:t>
      </w:r>
    </w:p>
    <w:p>
      <w:pPr>
        <w:widowControl w:val="0"/>
        <w:numPr>
          <w:ilvl w:val="0"/>
          <w:numId w:val="9"/>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我方承诺，与买方聘请的为此项目提供咨询服务的公司及任何附属机构均无关联，我方不是买方的附属机构。 </w:t>
      </w:r>
    </w:p>
    <w:p>
      <w:pPr>
        <w:widowControl w:val="0"/>
        <w:numPr>
          <w:ilvl w:val="0"/>
          <w:numId w:val="9"/>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我方承诺，我方具备</w:t>
      </w:r>
      <w:r>
        <w:rPr>
          <w:rFonts w:hint="eastAsia" w:ascii="宋体" w:hAnsi="宋体" w:eastAsia="宋体"/>
          <w:color w:val="auto"/>
          <w:sz w:val="21"/>
          <w:szCs w:val="21"/>
          <w:highlight w:val="none"/>
          <w:lang w:eastAsia="zh-CN"/>
        </w:rPr>
        <w:t>投标人邀请中所要求的</w:t>
      </w:r>
      <w:r>
        <w:rPr>
          <w:rFonts w:hint="eastAsia" w:ascii="宋体" w:hAnsi="宋体" w:eastAsia="宋体"/>
          <w:color w:val="auto"/>
          <w:sz w:val="21"/>
          <w:szCs w:val="21"/>
          <w:highlight w:val="none"/>
        </w:rPr>
        <w:t>资格条件，已清楚招标文件所有要求及有关规定；并承诺参加本次采购活动中，如有违法、违规、弄虚作假行为，所造成的损失、不良后果及法律责任，一律由我方承担；</w:t>
      </w:r>
    </w:p>
    <w:p>
      <w:pPr>
        <w:widowControl w:val="0"/>
        <w:numPr>
          <w:ilvl w:val="0"/>
          <w:numId w:val="9"/>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我方同意提供按照贵方可能要求的与其投标有关的一切数据或资料。</w:t>
      </w:r>
    </w:p>
    <w:p>
      <w:pPr>
        <w:widowControl w:val="0"/>
        <w:numPr>
          <w:ilvl w:val="0"/>
          <w:numId w:val="9"/>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与本投标有关的一切正式信函请寄：</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ascii="宋体" w:hAnsi="宋体" w:eastAsia="宋体"/>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地址：　　　　　　　　　　　　　　　　　　　传真：</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电话/移动电话：　　　　　　　　　　　　　　　电子函件：</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投标人代表签字： </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投标人名称（全称）： </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投标人盖章： </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投标人开户银行（全称）：</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投标人银行帐号：</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日期：</w:t>
      </w:r>
    </w:p>
    <w:p>
      <w:pPr>
        <w:pStyle w:val="5"/>
        <w:widowControl w:val="0"/>
        <w:overflowPunct w:val="0"/>
        <w:spacing w:before="0" w:after="0" w:line="240" w:lineRule="auto"/>
        <w:rPr>
          <w:rFonts w:ascii="宋体" w:hAnsi="宋体" w:eastAsia="宋体"/>
          <w:color w:val="auto"/>
          <w:sz w:val="21"/>
          <w:szCs w:val="21"/>
          <w:highlight w:val="none"/>
        </w:rPr>
      </w:pPr>
      <w:bookmarkStart w:id="94" w:name="_Toc23548"/>
      <w:r>
        <w:rPr>
          <w:rFonts w:hint="eastAsia" w:ascii="宋体" w:hAnsi="宋体" w:eastAsia="宋体"/>
          <w:color w:val="auto"/>
          <w:sz w:val="21"/>
          <w:szCs w:val="21"/>
          <w:highlight w:val="none"/>
        </w:rPr>
        <w:t>附件3.开标一览表格式</w:t>
      </w:r>
      <w:bookmarkEnd w:id="94"/>
    </w:p>
    <w:p>
      <w:pPr>
        <w:jc w:val="center"/>
        <w:rPr>
          <w:rFonts w:ascii="黑体" w:eastAsia="黑体"/>
          <w:color w:val="auto"/>
          <w:sz w:val="32"/>
          <w:szCs w:val="32"/>
          <w:highlight w:val="none"/>
        </w:rPr>
      </w:pPr>
      <w:r>
        <w:rPr>
          <w:rFonts w:hint="eastAsia" w:ascii="黑体" w:eastAsia="黑体"/>
          <w:color w:val="auto"/>
          <w:sz w:val="32"/>
          <w:szCs w:val="32"/>
          <w:highlight w:val="none"/>
        </w:rPr>
        <w:t>开标一览表</w:t>
      </w:r>
    </w:p>
    <w:p>
      <w:pPr>
        <w:spacing w:line="360" w:lineRule="auto"/>
        <w:rPr>
          <w:color w:val="auto"/>
          <w:highlight w:val="none"/>
        </w:rPr>
      </w:pP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投标人名称：</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lang w:eastAsia="zh-CN"/>
        </w:rPr>
        <w:t>采购项目编号</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 </w:t>
      </w:r>
    </w:p>
    <w:tbl>
      <w:tblPr>
        <w:tblStyle w:val="18"/>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4"/>
        <w:gridCol w:w="3085"/>
        <w:gridCol w:w="3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8" w:hRule="atLeast"/>
          <w:jc w:val="center"/>
        </w:trPr>
        <w:tc>
          <w:tcPr>
            <w:tcW w:w="2714" w:type="dxa"/>
            <w:vAlign w:val="center"/>
          </w:tcPr>
          <w:p>
            <w:pPr>
              <w:tabs>
                <w:tab w:val="left" w:pos="654"/>
                <w:tab w:val="left" w:pos="1734"/>
                <w:tab w:val="left" w:pos="2814"/>
                <w:tab w:val="left" w:pos="3894"/>
                <w:tab w:val="left" w:pos="5334"/>
                <w:tab w:val="left" w:pos="6414"/>
                <w:tab w:val="left" w:pos="7254"/>
                <w:tab w:val="left" w:pos="8574"/>
                <w:tab w:val="left" w:pos="9654"/>
              </w:tabs>
              <w:spacing w:after="0"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项目名称/包号</w:t>
            </w:r>
          </w:p>
        </w:tc>
        <w:tc>
          <w:tcPr>
            <w:tcW w:w="3085" w:type="dxa"/>
            <w:vAlign w:val="center"/>
          </w:tcPr>
          <w:p>
            <w:pPr>
              <w:tabs>
                <w:tab w:val="left" w:pos="654"/>
                <w:tab w:val="left" w:pos="1734"/>
                <w:tab w:val="left" w:pos="2814"/>
                <w:tab w:val="left" w:pos="3894"/>
                <w:tab w:val="left" w:pos="5334"/>
                <w:tab w:val="left" w:pos="6414"/>
                <w:tab w:val="left" w:pos="7254"/>
                <w:tab w:val="left" w:pos="8574"/>
                <w:tab w:val="left" w:pos="9654"/>
              </w:tabs>
              <w:spacing w:after="0"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投标总价</w:t>
            </w:r>
          </w:p>
        </w:tc>
        <w:tc>
          <w:tcPr>
            <w:tcW w:w="3262" w:type="dxa"/>
            <w:vAlign w:val="center"/>
          </w:tcPr>
          <w:p>
            <w:pPr>
              <w:tabs>
                <w:tab w:val="left" w:pos="654"/>
                <w:tab w:val="left" w:pos="1734"/>
                <w:tab w:val="left" w:pos="2814"/>
                <w:tab w:val="left" w:pos="3894"/>
                <w:tab w:val="left" w:pos="5334"/>
                <w:tab w:val="left" w:pos="6414"/>
                <w:tab w:val="left" w:pos="7254"/>
                <w:tab w:val="left" w:pos="8574"/>
                <w:tab w:val="left" w:pos="9654"/>
              </w:tabs>
              <w:spacing w:after="0"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2714" w:type="dxa"/>
          </w:tcPr>
          <w:p>
            <w:pPr>
              <w:tabs>
                <w:tab w:val="left" w:pos="654"/>
                <w:tab w:val="left" w:pos="1734"/>
                <w:tab w:val="left" w:pos="2814"/>
                <w:tab w:val="left" w:pos="3894"/>
                <w:tab w:val="left" w:pos="5334"/>
                <w:tab w:val="left" w:pos="6414"/>
                <w:tab w:val="left" w:pos="7254"/>
                <w:tab w:val="left" w:pos="8574"/>
                <w:tab w:val="left" w:pos="9654"/>
              </w:tabs>
              <w:spacing w:after="0" w:line="360" w:lineRule="auto"/>
              <w:rPr>
                <w:rFonts w:ascii="宋体" w:hAnsi="宋体" w:eastAsia="宋体"/>
                <w:color w:val="auto"/>
                <w:sz w:val="21"/>
                <w:szCs w:val="21"/>
                <w:highlight w:val="none"/>
              </w:rPr>
            </w:pPr>
          </w:p>
        </w:tc>
        <w:tc>
          <w:tcPr>
            <w:tcW w:w="3085" w:type="dxa"/>
          </w:tcPr>
          <w:p>
            <w:pPr>
              <w:tabs>
                <w:tab w:val="left" w:pos="654"/>
                <w:tab w:val="left" w:pos="1734"/>
                <w:tab w:val="left" w:pos="2814"/>
                <w:tab w:val="left" w:pos="3894"/>
                <w:tab w:val="left" w:pos="5334"/>
                <w:tab w:val="left" w:pos="6414"/>
                <w:tab w:val="left" w:pos="7254"/>
                <w:tab w:val="left" w:pos="8574"/>
                <w:tab w:val="left" w:pos="9654"/>
              </w:tabs>
              <w:spacing w:after="0" w:line="360" w:lineRule="auto"/>
              <w:rPr>
                <w:rFonts w:ascii="宋体" w:hAnsi="宋体" w:eastAsia="宋体"/>
                <w:color w:val="auto"/>
                <w:sz w:val="21"/>
                <w:szCs w:val="21"/>
                <w:highlight w:val="none"/>
              </w:rPr>
            </w:pPr>
          </w:p>
        </w:tc>
        <w:tc>
          <w:tcPr>
            <w:tcW w:w="3262" w:type="dxa"/>
          </w:tcPr>
          <w:p>
            <w:pPr>
              <w:tabs>
                <w:tab w:val="left" w:pos="654"/>
                <w:tab w:val="left" w:pos="1734"/>
                <w:tab w:val="left" w:pos="2814"/>
                <w:tab w:val="left" w:pos="3894"/>
                <w:tab w:val="left" w:pos="5334"/>
                <w:tab w:val="left" w:pos="6414"/>
                <w:tab w:val="left" w:pos="7254"/>
                <w:tab w:val="left" w:pos="8574"/>
                <w:tab w:val="left" w:pos="9654"/>
              </w:tabs>
              <w:spacing w:after="0" w:line="360" w:lineRule="auto"/>
              <w:rPr>
                <w:rFonts w:ascii="宋体" w:hAnsi="宋体" w:eastAsia="宋体"/>
                <w:color w:val="auto"/>
                <w:sz w:val="21"/>
                <w:szCs w:val="21"/>
                <w:highlight w:val="none"/>
              </w:rPr>
            </w:pPr>
          </w:p>
        </w:tc>
      </w:tr>
    </w:tbl>
    <w:p>
      <w:pPr>
        <w:spacing w:after="0" w:line="360" w:lineRule="auto"/>
        <w:rPr>
          <w:rFonts w:ascii="宋体" w:hAnsi="宋体" w:eastAsia="宋体"/>
          <w:color w:val="auto"/>
          <w:sz w:val="21"/>
          <w:szCs w:val="21"/>
          <w:highlight w:val="none"/>
        </w:rPr>
      </w:pPr>
    </w:p>
    <w:p>
      <w:pPr>
        <w:spacing w:after="0" w:line="360" w:lineRule="auto"/>
        <w:ind w:firstLine="359" w:firstLineChars="171"/>
        <w:rPr>
          <w:rFonts w:ascii="宋体" w:hAnsi="宋体" w:eastAsia="宋体"/>
          <w:color w:val="auto"/>
          <w:sz w:val="21"/>
          <w:szCs w:val="21"/>
          <w:highlight w:val="none"/>
        </w:rPr>
      </w:pPr>
    </w:p>
    <w:p>
      <w:pPr>
        <w:spacing w:after="0" w:line="360" w:lineRule="auto"/>
        <w:ind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spacing w:after="0" w:line="360" w:lineRule="auto"/>
        <w:ind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spacing w:after="0" w:line="360" w:lineRule="auto"/>
        <w:ind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日期：</w:t>
      </w:r>
    </w:p>
    <w:p>
      <w:pPr>
        <w:spacing w:after="0" w:line="360" w:lineRule="auto"/>
        <w:ind w:firstLine="359" w:firstLineChars="171"/>
        <w:rPr>
          <w:rFonts w:ascii="宋体" w:hAnsi="宋体" w:eastAsia="宋体"/>
          <w:color w:val="auto"/>
          <w:sz w:val="21"/>
          <w:szCs w:val="21"/>
          <w:highlight w:val="none"/>
        </w:rPr>
      </w:pPr>
    </w:p>
    <w:p>
      <w:pPr>
        <w:spacing w:after="0" w:line="360" w:lineRule="auto"/>
        <w:ind w:left="391" w:hanging="390" w:hangingChars="186"/>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注：1、投标总价栏须</w:t>
      </w:r>
      <w:r>
        <w:rPr>
          <w:rFonts w:ascii="宋体" w:hAnsi="宋体" w:eastAsia="宋体"/>
          <w:color w:val="auto"/>
          <w:sz w:val="21"/>
          <w:szCs w:val="21"/>
          <w:highlight w:val="none"/>
        </w:rPr>
        <w:t>用</w:t>
      </w:r>
      <w:r>
        <w:rPr>
          <w:rFonts w:hint="eastAsia" w:ascii="宋体" w:hAnsi="宋体" w:eastAsia="宋体"/>
          <w:color w:val="auto"/>
          <w:sz w:val="21"/>
          <w:szCs w:val="21"/>
          <w:highlight w:val="none"/>
        </w:rPr>
        <w:t>大写金额和小写金额两种方式</w:t>
      </w:r>
      <w:r>
        <w:rPr>
          <w:rFonts w:ascii="宋体" w:hAnsi="宋体" w:eastAsia="宋体"/>
          <w:color w:val="auto"/>
          <w:sz w:val="21"/>
          <w:szCs w:val="21"/>
          <w:highlight w:val="none"/>
        </w:rPr>
        <w:t>表示的投标总价</w:t>
      </w:r>
      <w:r>
        <w:rPr>
          <w:rFonts w:hint="eastAsia" w:ascii="宋体" w:hAnsi="宋体" w:eastAsia="宋体"/>
          <w:color w:val="auto"/>
          <w:sz w:val="21"/>
          <w:szCs w:val="21"/>
          <w:highlight w:val="none"/>
        </w:rPr>
        <w:t>，报价保留小数点后两位。投标总价大小写不一致，以大写为准。投标总价必须准确唯一且应包含招标文件要求的所有费用。</w:t>
      </w:r>
    </w:p>
    <w:p>
      <w:pPr>
        <w:spacing w:after="0" w:line="360" w:lineRule="auto"/>
        <w:ind w:left="374" w:leftChars="170"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2、此表应按投标人须知的规定密封标记并与《授权委托书》、《投标保证金汇入情况说明》同密封单独提交。</w:t>
      </w:r>
    </w:p>
    <w:p>
      <w:pPr>
        <w:spacing w:after="0" w:line="360" w:lineRule="auto"/>
        <w:ind w:left="374" w:leftChars="170"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3、温馨提示：未按招标文件要求报价、填写开标一览表是导致投标人废标的常见问题，请投标人仔细填写，认真核对。</w:t>
      </w:r>
    </w:p>
    <w:p>
      <w:pPr>
        <w:adjustRightInd/>
        <w:snapToGrid/>
        <w:spacing w:line="276" w:lineRule="auto"/>
        <w:rPr>
          <w:color w:val="auto"/>
          <w:highlight w:val="none"/>
        </w:rPr>
      </w:pPr>
    </w:p>
    <w:p>
      <w:pPr>
        <w:adjustRightInd/>
        <w:snapToGrid/>
        <w:spacing w:line="276" w:lineRule="auto"/>
        <w:rPr>
          <w:color w:val="auto"/>
          <w:highlight w:val="none"/>
        </w:rPr>
      </w:pPr>
      <w:r>
        <w:rPr>
          <w:color w:val="auto"/>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95" w:name="_Toc7877"/>
      <w:r>
        <w:rPr>
          <w:rFonts w:hint="eastAsia" w:ascii="宋体" w:hAnsi="宋体" w:eastAsia="宋体"/>
          <w:color w:val="auto"/>
          <w:sz w:val="21"/>
          <w:szCs w:val="21"/>
          <w:highlight w:val="none"/>
        </w:rPr>
        <w:t xml:space="preserve">附件4. </w:t>
      </w:r>
      <w:r>
        <w:rPr>
          <w:rFonts w:hint="eastAsia" w:ascii="宋体" w:hAnsi="宋体" w:eastAsia="宋体" w:cs="Times New Roman"/>
          <w:color w:val="auto"/>
          <w:sz w:val="21"/>
          <w:szCs w:val="21"/>
          <w:highlight w:val="none"/>
        </w:rPr>
        <w:t>投标分项报价表格式</w:t>
      </w:r>
      <w:bookmarkEnd w:id="95"/>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货物（服务）分项报价表</w:t>
      </w:r>
      <w:r>
        <w:rPr>
          <w:rFonts w:hint="eastAsia" w:ascii="宋体" w:hAnsi="宋体" w:eastAsia="宋体"/>
          <w:color w:val="auto"/>
          <w:sz w:val="21"/>
          <w:szCs w:val="21"/>
          <w:highlight w:val="none"/>
        </w:rPr>
        <w:t xml:space="preserve"> </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77"/>
        <w:gridCol w:w="1917"/>
        <w:gridCol w:w="1050"/>
        <w:gridCol w:w="1100"/>
        <w:gridCol w:w="1183"/>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377"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货物（服务）名称</w:t>
            </w:r>
          </w:p>
        </w:tc>
        <w:tc>
          <w:tcPr>
            <w:tcW w:w="1917"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规格型号（服务内容）</w:t>
            </w:r>
          </w:p>
        </w:tc>
        <w:tc>
          <w:tcPr>
            <w:tcW w:w="1050"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数量</w:t>
            </w:r>
          </w:p>
        </w:tc>
        <w:tc>
          <w:tcPr>
            <w:tcW w:w="1100"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单价</w:t>
            </w:r>
          </w:p>
        </w:tc>
        <w:tc>
          <w:tcPr>
            <w:tcW w:w="1183" w:type="dxa"/>
            <w:vAlign w:val="center"/>
          </w:tcPr>
          <w:p>
            <w:pPr>
              <w:spacing w:before="100" w:beforeAutospacing="1" w:after="100" w:afterAutospacing="1"/>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总价</w:t>
            </w:r>
          </w:p>
        </w:tc>
        <w:tc>
          <w:tcPr>
            <w:tcW w:w="1078"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widowControl w:val="0"/>
              <w:adjustRightInd/>
              <w:snapToGrid/>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w:t>
            </w:r>
          </w:p>
        </w:tc>
        <w:tc>
          <w:tcPr>
            <w:tcW w:w="1377" w:type="dxa"/>
            <w:vAlign w:val="center"/>
          </w:tcPr>
          <w:p>
            <w:pPr>
              <w:spacing w:before="100" w:beforeAutospacing="1" w:after="100" w:afterAutospacing="1"/>
              <w:rPr>
                <w:rFonts w:ascii="宋体" w:hAnsi="宋体" w:eastAsia="宋体"/>
                <w:color w:val="auto"/>
                <w:sz w:val="21"/>
                <w:szCs w:val="21"/>
                <w:highlight w:val="none"/>
              </w:rPr>
            </w:pPr>
          </w:p>
        </w:tc>
        <w:tc>
          <w:tcPr>
            <w:tcW w:w="1917" w:type="dxa"/>
            <w:vAlign w:val="center"/>
          </w:tcPr>
          <w:p>
            <w:pPr>
              <w:spacing w:before="100" w:beforeAutospacing="1" w:after="100" w:afterAutospacing="1"/>
              <w:jc w:val="center"/>
              <w:rPr>
                <w:rFonts w:ascii="宋体" w:hAnsi="宋体" w:eastAsia="宋体"/>
                <w:color w:val="auto"/>
                <w:sz w:val="21"/>
                <w:szCs w:val="21"/>
                <w:highlight w:val="none"/>
              </w:rPr>
            </w:pPr>
          </w:p>
        </w:tc>
        <w:tc>
          <w:tcPr>
            <w:tcW w:w="1050" w:type="dxa"/>
            <w:vAlign w:val="center"/>
          </w:tcPr>
          <w:p>
            <w:pPr>
              <w:spacing w:before="100" w:beforeAutospacing="1" w:after="100" w:afterAutospacing="1"/>
              <w:jc w:val="center"/>
              <w:rPr>
                <w:rFonts w:ascii="宋体" w:hAnsi="宋体" w:eastAsia="宋体"/>
                <w:color w:val="auto"/>
                <w:sz w:val="21"/>
                <w:szCs w:val="21"/>
                <w:highlight w:val="none"/>
              </w:rPr>
            </w:pPr>
          </w:p>
        </w:tc>
        <w:tc>
          <w:tcPr>
            <w:tcW w:w="1100" w:type="dxa"/>
            <w:vAlign w:val="center"/>
          </w:tcPr>
          <w:p>
            <w:pPr>
              <w:spacing w:before="100" w:beforeAutospacing="1" w:after="100" w:afterAutospacing="1"/>
              <w:jc w:val="center"/>
              <w:rPr>
                <w:rFonts w:ascii="宋体" w:hAnsi="宋体" w:eastAsia="宋体"/>
                <w:color w:val="auto"/>
                <w:sz w:val="21"/>
                <w:szCs w:val="21"/>
                <w:highlight w:val="none"/>
              </w:rPr>
            </w:pPr>
          </w:p>
        </w:tc>
        <w:tc>
          <w:tcPr>
            <w:tcW w:w="1183" w:type="dxa"/>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widowControl w:val="0"/>
              <w:adjustRightInd/>
              <w:snapToGrid/>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2</w:t>
            </w:r>
          </w:p>
        </w:tc>
        <w:tc>
          <w:tcPr>
            <w:tcW w:w="1377" w:type="dxa"/>
            <w:vAlign w:val="center"/>
          </w:tcPr>
          <w:p>
            <w:pPr>
              <w:spacing w:before="100" w:beforeAutospacing="1" w:after="100" w:afterAutospacing="1"/>
              <w:rPr>
                <w:rFonts w:ascii="宋体" w:hAnsi="宋体" w:eastAsia="宋体"/>
                <w:color w:val="auto"/>
                <w:sz w:val="21"/>
                <w:szCs w:val="21"/>
                <w:highlight w:val="none"/>
              </w:rPr>
            </w:pPr>
          </w:p>
        </w:tc>
        <w:tc>
          <w:tcPr>
            <w:tcW w:w="1917" w:type="dxa"/>
            <w:vAlign w:val="center"/>
          </w:tcPr>
          <w:p>
            <w:pPr>
              <w:spacing w:before="100" w:beforeAutospacing="1" w:after="100" w:afterAutospacing="1"/>
              <w:jc w:val="center"/>
              <w:rPr>
                <w:rFonts w:ascii="宋体" w:hAnsi="宋体" w:eastAsia="宋体"/>
                <w:color w:val="auto"/>
                <w:sz w:val="21"/>
                <w:szCs w:val="21"/>
                <w:highlight w:val="none"/>
              </w:rPr>
            </w:pPr>
          </w:p>
        </w:tc>
        <w:tc>
          <w:tcPr>
            <w:tcW w:w="1050" w:type="dxa"/>
            <w:vAlign w:val="center"/>
          </w:tcPr>
          <w:p>
            <w:pPr>
              <w:spacing w:before="100" w:beforeAutospacing="1" w:after="100" w:afterAutospacing="1"/>
              <w:jc w:val="center"/>
              <w:rPr>
                <w:rFonts w:ascii="宋体" w:hAnsi="宋体" w:eastAsia="宋体"/>
                <w:color w:val="auto"/>
                <w:sz w:val="21"/>
                <w:szCs w:val="21"/>
                <w:highlight w:val="none"/>
              </w:rPr>
            </w:pPr>
          </w:p>
        </w:tc>
        <w:tc>
          <w:tcPr>
            <w:tcW w:w="1100" w:type="dxa"/>
            <w:vAlign w:val="center"/>
          </w:tcPr>
          <w:p>
            <w:pPr>
              <w:spacing w:before="100" w:beforeAutospacing="1" w:after="100" w:afterAutospacing="1"/>
              <w:jc w:val="center"/>
              <w:rPr>
                <w:rFonts w:ascii="宋体" w:hAnsi="宋体" w:eastAsia="宋体"/>
                <w:color w:val="auto"/>
                <w:sz w:val="21"/>
                <w:szCs w:val="21"/>
                <w:highlight w:val="none"/>
              </w:rPr>
            </w:pPr>
          </w:p>
        </w:tc>
        <w:tc>
          <w:tcPr>
            <w:tcW w:w="1183" w:type="dxa"/>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widowControl w:val="0"/>
              <w:adjustRightInd/>
              <w:snapToGrid/>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3</w:t>
            </w:r>
          </w:p>
        </w:tc>
        <w:tc>
          <w:tcPr>
            <w:tcW w:w="1377" w:type="dxa"/>
            <w:vAlign w:val="center"/>
          </w:tcPr>
          <w:p>
            <w:pPr>
              <w:spacing w:before="100" w:beforeAutospacing="1" w:after="100" w:afterAutospacing="1"/>
              <w:rPr>
                <w:rFonts w:ascii="宋体" w:hAnsi="宋体" w:eastAsia="宋体"/>
                <w:color w:val="auto"/>
                <w:sz w:val="21"/>
                <w:szCs w:val="21"/>
                <w:highlight w:val="none"/>
              </w:rPr>
            </w:pPr>
          </w:p>
        </w:tc>
        <w:tc>
          <w:tcPr>
            <w:tcW w:w="1917" w:type="dxa"/>
            <w:vAlign w:val="center"/>
          </w:tcPr>
          <w:p>
            <w:pPr>
              <w:spacing w:before="100" w:beforeAutospacing="1" w:after="100" w:afterAutospacing="1"/>
              <w:jc w:val="center"/>
              <w:rPr>
                <w:rFonts w:ascii="宋体" w:hAnsi="宋体" w:eastAsia="宋体"/>
                <w:color w:val="auto"/>
                <w:sz w:val="21"/>
                <w:szCs w:val="21"/>
                <w:highlight w:val="none"/>
              </w:rPr>
            </w:pPr>
          </w:p>
        </w:tc>
        <w:tc>
          <w:tcPr>
            <w:tcW w:w="1050" w:type="dxa"/>
            <w:vAlign w:val="center"/>
          </w:tcPr>
          <w:p>
            <w:pPr>
              <w:spacing w:before="100" w:beforeAutospacing="1" w:after="100" w:afterAutospacing="1"/>
              <w:jc w:val="center"/>
              <w:rPr>
                <w:rFonts w:ascii="宋体" w:hAnsi="宋体" w:eastAsia="宋体"/>
                <w:color w:val="auto"/>
                <w:sz w:val="21"/>
                <w:szCs w:val="21"/>
                <w:highlight w:val="none"/>
              </w:rPr>
            </w:pPr>
          </w:p>
        </w:tc>
        <w:tc>
          <w:tcPr>
            <w:tcW w:w="1100" w:type="dxa"/>
            <w:vAlign w:val="center"/>
          </w:tcPr>
          <w:p>
            <w:pPr>
              <w:spacing w:before="100" w:beforeAutospacing="1" w:after="100" w:afterAutospacing="1"/>
              <w:jc w:val="center"/>
              <w:rPr>
                <w:rFonts w:ascii="宋体" w:hAnsi="宋体" w:eastAsia="宋体"/>
                <w:color w:val="auto"/>
                <w:sz w:val="21"/>
                <w:szCs w:val="21"/>
                <w:highlight w:val="none"/>
              </w:rPr>
            </w:pPr>
          </w:p>
        </w:tc>
        <w:tc>
          <w:tcPr>
            <w:tcW w:w="1183" w:type="dxa"/>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261" w:type="dxa"/>
            <w:gridSpan w:val="5"/>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总价</w:t>
            </w:r>
          </w:p>
        </w:tc>
        <w:tc>
          <w:tcPr>
            <w:tcW w:w="2261" w:type="dxa"/>
            <w:gridSpan w:val="2"/>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8522" w:type="dxa"/>
            <w:gridSpan w:val="7"/>
            <w:vAlign w:val="center"/>
          </w:tcPr>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日期：</w:t>
            </w:r>
          </w:p>
        </w:tc>
      </w:tr>
    </w:tbl>
    <w:p>
      <w:pPr>
        <w:rPr>
          <w:rFonts w:ascii="宋体" w:hAnsi="宋体" w:eastAsia="宋体" w:cs="宋体"/>
          <w:b/>
          <w:color w:val="auto"/>
          <w:sz w:val="21"/>
          <w:szCs w:val="21"/>
          <w:highlight w:val="none"/>
        </w:rPr>
      </w:pPr>
    </w:p>
    <w:p>
      <w:pPr>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小型和微型企业（货物、承担的工程或者服务）列价表</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587"/>
        <w:gridCol w:w="1575"/>
        <w:gridCol w:w="1180"/>
        <w:gridCol w:w="778"/>
        <w:gridCol w:w="777"/>
        <w:gridCol w:w="778"/>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587"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货物名称</w:t>
            </w:r>
          </w:p>
        </w:tc>
        <w:tc>
          <w:tcPr>
            <w:tcW w:w="1575" w:type="dxa"/>
            <w:vAlign w:val="center"/>
          </w:tcPr>
          <w:p>
            <w:pPr>
              <w:spacing w:after="0"/>
              <w:ind w:hanging="148"/>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品牌及原产地</w:t>
            </w:r>
          </w:p>
        </w:tc>
        <w:tc>
          <w:tcPr>
            <w:tcW w:w="1180"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w:t>
            </w:r>
          </w:p>
        </w:tc>
        <w:tc>
          <w:tcPr>
            <w:tcW w:w="778"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777"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单价</w:t>
            </w:r>
          </w:p>
        </w:tc>
        <w:tc>
          <w:tcPr>
            <w:tcW w:w="778"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c>
          <w:tcPr>
            <w:tcW w:w="972"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87" w:type="dxa"/>
            <w:vAlign w:val="center"/>
          </w:tcPr>
          <w:p>
            <w:pPr>
              <w:spacing w:after="0"/>
              <w:jc w:val="center"/>
              <w:textAlignment w:val="bottom"/>
              <w:rPr>
                <w:rFonts w:ascii="宋体" w:hAnsi="宋体" w:eastAsia="宋体" w:cs="宋体"/>
                <w:color w:val="auto"/>
                <w:sz w:val="21"/>
                <w:szCs w:val="21"/>
                <w:highlight w:val="none"/>
              </w:rPr>
            </w:pPr>
          </w:p>
        </w:tc>
        <w:tc>
          <w:tcPr>
            <w:tcW w:w="1575" w:type="dxa"/>
            <w:vAlign w:val="center"/>
          </w:tcPr>
          <w:p>
            <w:pPr>
              <w:spacing w:after="0"/>
              <w:jc w:val="center"/>
              <w:textAlignment w:val="bottom"/>
              <w:rPr>
                <w:rFonts w:ascii="宋体" w:hAnsi="宋体" w:eastAsia="宋体" w:cs="宋体"/>
                <w:color w:val="auto"/>
                <w:sz w:val="21"/>
                <w:szCs w:val="21"/>
                <w:highlight w:val="none"/>
              </w:rPr>
            </w:pPr>
          </w:p>
        </w:tc>
        <w:tc>
          <w:tcPr>
            <w:tcW w:w="1180"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777"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972"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87" w:type="dxa"/>
            <w:vAlign w:val="center"/>
          </w:tcPr>
          <w:p>
            <w:pPr>
              <w:spacing w:after="0"/>
              <w:jc w:val="center"/>
              <w:textAlignment w:val="bottom"/>
              <w:rPr>
                <w:rFonts w:ascii="宋体" w:hAnsi="宋体" w:eastAsia="宋体" w:cs="宋体"/>
                <w:color w:val="auto"/>
                <w:sz w:val="21"/>
                <w:szCs w:val="21"/>
                <w:highlight w:val="none"/>
              </w:rPr>
            </w:pPr>
          </w:p>
        </w:tc>
        <w:tc>
          <w:tcPr>
            <w:tcW w:w="1575" w:type="dxa"/>
            <w:vAlign w:val="center"/>
          </w:tcPr>
          <w:p>
            <w:pPr>
              <w:spacing w:after="0"/>
              <w:jc w:val="center"/>
              <w:textAlignment w:val="bottom"/>
              <w:rPr>
                <w:rFonts w:ascii="宋体" w:hAnsi="宋体" w:eastAsia="宋体" w:cs="宋体"/>
                <w:color w:val="auto"/>
                <w:sz w:val="21"/>
                <w:szCs w:val="21"/>
                <w:highlight w:val="none"/>
              </w:rPr>
            </w:pPr>
          </w:p>
        </w:tc>
        <w:tc>
          <w:tcPr>
            <w:tcW w:w="1180"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777"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972"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587" w:type="dxa"/>
            <w:vAlign w:val="center"/>
          </w:tcPr>
          <w:p>
            <w:pPr>
              <w:spacing w:after="0"/>
              <w:jc w:val="center"/>
              <w:textAlignment w:val="bottom"/>
              <w:rPr>
                <w:rFonts w:ascii="宋体" w:hAnsi="宋体" w:eastAsia="宋体" w:cs="宋体"/>
                <w:color w:val="auto"/>
                <w:sz w:val="21"/>
                <w:szCs w:val="21"/>
                <w:highlight w:val="none"/>
              </w:rPr>
            </w:pPr>
          </w:p>
        </w:tc>
        <w:tc>
          <w:tcPr>
            <w:tcW w:w="1575" w:type="dxa"/>
            <w:vAlign w:val="center"/>
          </w:tcPr>
          <w:p>
            <w:pPr>
              <w:spacing w:after="0"/>
              <w:jc w:val="center"/>
              <w:textAlignment w:val="bottom"/>
              <w:rPr>
                <w:rFonts w:ascii="宋体" w:hAnsi="宋体" w:eastAsia="宋体" w:cs="宋体"/>
                <w:color w:val="auto"/>
                <w:sz w:val="21"/>
                <w:szCs w:val="21"/>
                <w:highlight w:val="none"/>
              </w:rPr>
            </w:pPr>
          </w:p>
        </w:tc>
        <w:tc>
          <w:tcPr>
            <w:tcW w:w="1180"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777"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972"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587" w:type="dxa"/>
            <w:vAlign w:val="center"/>
          </w:tcPr>
          <w:p>
            <w:pPr>
              <w:spacing w:after="0"/>
              <w:jc w:val="center"/>
              <w:textAlignment w:val="bottom"/>
              <w:rPr>
                <w:rFonts w:ascii="宋体" w:hAnsi="宋体" w:eastAsia="宋体" w:cs="宋体"/>
                <w:color w:val="auto"/>
                <w:sz w:val="21"/>
                <w:szCs w:val="21"/>
                <w:highlight w:val="none"/>
              </w:rPr>
            </w:pPr>
          </w:p>
        </w:tc>
        <w:tc>
          <w:tcPr>
            <w:tcW w:w="1575" w:type="dxa"/>
            <w:vAlign w:val="center"/>
          </w:tcPr>
          <w:p>
            <w:pPr>
              <w:spacing w:after="0"/>
              <w:jc w:val="center"/>
              <w:textAlignment w:val="bottom"/>
              <w:rPr>
                <w:rFonts w:ascii="宋体" w:hAnsi="宋体" w:eastAsia="宋体" w:cs="宋体"/>
                <w:color w:val="auto"/>
                <w:sz w:val="21"/>
                <w:szCs w:val="21"/>
                <w:highlight w:val="none"/>
              </w:rPr>
            </w:pPr>
          </w:p>
        </w:tc>
        <w:tc>
          <w:tcPr>
            <w:tcW w:w="1180"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777"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972"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2462" w:type="dxa"/>
            <w:gridSpan w:val="2"/>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总计</w:t>
            </w:r>
          </w:p>
        </w:tc>
        <w:tc>
          <w:tcPr>
            <w:tcW w:w="6060" w:type="dxa"/>
            <w:gridSpan w:val="6"/>
            <w:vAlign w:val="center"/>
          </w:tcPr>
          <w:p>
            <w:pPr>
              <w:spacing w:after="0"/>
              <w:rPr>
                <w:rFonts w:ascii="宋体" w:hAnsi="宋体" w:eastAsia="宋体" w:cs="宋体"/>
                <w:color w:val="auto"/>
                <w:sz w:val="21"/>
                <w:szCs w:val="21"/>
                <w:highlight w:val="none"/>
              </w:rPr>
            </w:pPr>
            <w:r>
              <w:rPr>
                <w:rStyle w:val="36"/>
                <w:rFonts w:hint="eastAsia" w:ascii="宋体" w:hAnsi="宋体" w:eastAsia="宋体" w:cs="宋体"/>
                <w:color w:val="auto"/>
                <w:sz w:val="21"/>
                <w:szCs w:val="21"/>
                <w:highlight w:val="none"/>
              </w:rPr>
              <w:t>￥    元（大写人民币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8" w:hRule="atLeast"/>
        </w:trPr>
        <w:tc>
          <w:tcPr>
            <w:tcW w:w="8522" w:type="dxa"/>
            <w:gridSpan w:val="8"/>
            <w:vAlign w:val="center"/>
          </w:tcPr>
          <w:p>
            <w:pPr>
              <w:spacing w:after="0"/>
              <w:rPr>
                <w:rStyle w:val="36"/>
                <w:rFonts w:ascii="宋体" w:hAnsi="宋体" w:eastAsia="宋体" w:cs="宋体"/>
                <w:b/>
                <w:color w:val="auto"/>
                <w:sz w:val="21"/>
                <w:szCs w:val="21"/>
                <w:highlight w:val="none"/>
              </w:rPr>
            </w:pPr>
            <w:r>
              <w:rPr>
                <w:rStyle w:val="36"/>
                <w:rFonts w:hint="eastAsia" w:ascii="宋体" w:hAnsi="宋体" w:eastAsia="宋体" w:cs="宋体"/>
                <w:b/>
                <w:color w:val="auto"/>
                <w:sz w:val="21"/>
                <w:szCs w:val="21"/>
                <w:highlight w:val="none"/>
              </w:rPr>
              <w:t>注：1、投标人在“货物（服务）分项报价表”中的报价内容中，如有属于</w:t>
            </w:r>
            <w:r>
              <w:rPr>
                <w:rFonts w:hint="eastAsia" w:ascii="宋体" w:hAnsi="宋体" w:eastAsia="宋体" w:cs="宋体"/>
                <w:b/>
                <w:color w:val="auto"/>
                <w:sz w:val="21"/>
                <w:szCs w:val="21"/>
                <w:highlight w:val="none"/>
              </w:rPr>
              <w:t>小型和微型企业产品（货物、承担的工程或者服务）的，必须在此表单独列明，否则在计算价格得分时不予以相应的扣除</w:t>
            </w:r>
            <w:r>
              <w:rPr>
                <w:rStyle w:val="36"/>
                <w:rFonts w:hint="eastAsia" w:ascii="宋体" w:hAnsi="宋体" w:eastAsia="宋体" w:cs="宋体"/>
                <w:b/>
                <w:color w:val="auto"/>
                <w:sz w:val="21"/>
                <w:szCs w:val="21"/>
                <w:highlight w:val="none"/>
              </w:rPr>
              <w:t>；</w:t>
            </w:r>
          </w:p>
          <w:p>
            <w:pPr>
              <w:tabs>
                <w:tab w:val="left" w:pos="284"/>
              </w:tabs>
              <w:spacing w:after="0"/>
              <w:rPr>
                <w:rStyle w:val="36"/>
                <w:rFonts w:ascii="宋体" w:hAnsi="宋体" w:eastAsia="宋体" w:cs="宋体"/>
                <w:b/>
                <w:color w:val="auto"/>
                <w:sz w:val="21"/>
                <w:szCs w:val="21"/>
                <w:highlight w:val="none"/>
              </w:rPr>
            </w:pPr>
            <w:r>
              <w:rPr>
                <w:rStyle w:val="36"/>
                <w:rFonts w:hint="eastAsia" w:ascii="宋体" w:hAnsi="宋体" w:eastAsia="宋体" w:cs="宋体"/>
                <w:b/>
                <w:color w:val="auto"/>
                <w:sz w:val="21"/>
                <w:szCs w:val="21"/>
                <w:highlight w:val="none"/>
              </w:rPr>
              <w:t>2、投标人应该如实填写，如投标人所投产品中无小型和微型企业产品的，请留空或删除此表！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8522" w:type="dxa"/>
            <w:gridSpan w:val="8"/>
            <w:vAlign w:val="center"/>
          </w:tcPr>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tabs>
                <w:tab w:val="left" w:pos="284"/>
              </w:tabs>
              <w:spacing w:after="0"/>
              <w:rPr>
                <w:rStyle w:val="36"/>
                <w:rFonts w:ascii="宋体" w:hAnsi="宋体" w:eastAsia="宋体" w:cs="宋体"/>
                <w:b/>
                <w:color w:val="auto"/>
                <w:sz w:val="21"/>
                <w:szCs w:val="21"/>
                <w:highlight w:val="none"/>
              </w:rPr>
            </w:pPr>
            <w:r>
              <w:rPr>
                <w:rFonts w:hint="eastAsia" w:ascii="宋体" w:hAnsi="宋体" w:eastAsia="宋体"/>
                <w:color w:val="auto"/>
                <w:sz w:val="21"/>
                <w:szCs w:val="21"/>
                <w:highlight w:val="none"/>
              </w:rPr>
              <w:t>日期：</w:t>
            </w:r>
          </w:p>
        </w:tc>
      </w:tr>
    </w:tbl>
    <w:p>
      <w:pPr>
        <w:pStyle w:val="26"/>
        <w:spacing w:after="0" w:line="360" w:lineRule="auto"/>
        <w:ind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节能产品或环境标志产品列价表</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381"/>
        <w:gridCol w:w="1316"/>
        <w:gridCol w:w="1067"/>
        <w:gridCol w:w="1150"/>
        <w:gridCol w:w="850"/>
        <w:gridCol w:w="833"/>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381"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货物名称</w:t>
            </w:r>
          </w:p>
        </w:tc>
        <w:tc>
          <w:tcPr>
            <w:tcW w:w="1316"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w:t>
            </w:r>
          </w:p>
        </w:tc>
        <w:tc>
          <w:tcPr>
            <w:tcW w:w="1067"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150"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单价</w:t>
            </w:r>
          </w:p>
        </w:tc>
        <w:tc>
          <w:tcPr>
            <w:tcW w:w="850"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c>
          <w:tcPr>
            <w:tcW w:w="833"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1050"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81" w:type="dxa"/>
            <w:vAlign w:val="center"/>
          </w:tcPr>
          <w:p>
            <w:pPr>
              <w:spacing w:after="0"/>
              <w:jc w:val="center"/>
              <w:textAlignment w:val="bottom"/>
              <w:rPr>
                <w:rFonts w:ascii="宋体" w:hAnsi="宋体" w:eastAsia="宋体" w:cs="宋体"/>
                <w:color w:val="auto"/>
                <w:sz w:val="21"/>
                <w:szCs w:val="21"/>
                <w:highlight w:val="none"/>
              </w:rPr>
            </w:pPr>
          </w:p>
        </w:tc>
        <w:tc>
          <w:tcPr>
            <w:tcW w:w="1316" w:type="dxa"/>
            <w:vAlign w:val="center"/>
          </w:tcPr>
          <w:p>
            <w:pPr>
              <w:spacing w:after="0"/>
              <w:jc w:val="center"/>
              <w:textAlignment w:val="bottom"/>
              <w:rPr>
                <w:rFonts w:ascii="宋体" w:hAnsi="宋体" w:eastAsia="宋体" w:cs="宋体"/>
                <w:color w:val="auto"/>
                <w:sz w:val="21"/>
                <w:szCs w:val="21"/>
                <w:highlight w:val="none"/>
              </w:rPr>
            </w:pPr>
          </w:p>
        </w:tc>
        <w:tc>
          <w:tcPr>
            <w:tcW w:w="1067" w:type="dxa"/>
            <w:vAlign w:val="center"/>
          </w:tcPr>
          <w:p>
            <w:pPr>
              <w:spacing w:after="0"/>
              <w:jc w:val="center"/>
              <w:textAlignment w:val="bottom"/>
              <w:rPr>
                <w:rFonts w:ascii="宋体" w:hAnsi="宋体" w:eastAsia="宋体" w:cs="宋体"/>
                <w:color w:val="auto"/>
                <w:sz w:val="21"/>
                <w:szCs w:val="21"/>
                <w:highlight w:val="none"/>
              </w:rPr>
            </w:pPr>
          </w:p>
        </w:tc>
        <w:tc>
          <w:tcPr>
            <w:tcW w:w="1150" w:type="dxa"/>
            <w:vAlign w:val="center"/>
          </w:tcPr>
          <w:p>
            <w:pPr>
              <w:spacing w:after="0"/>
              <w:jc w:val="center"/>
              <w:textAlignment w:val="bottom"/>
              <w:rPr>
                <w:rFonts w:ascii="宋体" w:hAnsi="宋体" w:eastAsia="宋体" w:cs="宋体"/>
                <w:color w:val="auto"/>
                <w:sz w:val="21"/>
                <w:szCs w:val="21"/>
                <w:highlight w:val="none"/>
              </w:rPr>
            </w:pPr>
          </w:p>
        </w:tc>
        <w:tc>
          <w:tcPr>
            <w:tcW w:w="850" w:type="dxa"/>
            <w:vAlign w:val="center"/>
          </w:tcPr>
          <w:p>
            <w:pPr>
              <w:spacing w:after="0"/>
              <w:jc w:val="center"/>
              <w:textAlignment w:val="bottom"/>
              <w:rPr>
                <w:rFonts w:ascii="宋体" w:hAnsi="宋体" w:eastAsia="宋体" w:cs="宋体"/>
                <w:color w:val="auto"/>
                <w:sz w:val="21"/>
                <w:szCs w:val="21"/>
                <w:highlight w:val="none"/>
              </w:rPr>
            </w:pPr>
          </w:p>
        </w:tc>
        <w:tc>
          <w:tcPr>
            <w:tcW w:w="833" w:type="dxa"/>
            <w:vAlign w:val="center"/>
          </w:tcPr>
          <w:p>
            <w:pPr>
              <w:spacing w:after="0"/>
              <w:jc w:val="center"/>
              <w:textAlignment w:val="bottom"/>
              <w:rPr>
                <w:rFonts w:ascii="宋体" w:hAnsi="宋体" w:eastAsia="宋体" w:cs="宋体"/>
                <w:color w:val="auto"/>
                <w:sz w:val="21"/>
                <w:szCs w:val="21"/>
                <w:highlight w:val="none"/>
              </w:rPr>
            </w:pPr>
          </w:p>
        </w:tc>
        <w:tc>
          <w:tcPr>
            <w:tcW w:w="1050"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81" w:type="dxa"/>
            <w:vAlign w:val="center"/>
          </w:tcPr>
          <w:p>
            <w:pPr>
              <w:spacing w:after="0"/>
              <w:jc w:val="center"/>
              <w:textAlignment w:val="bottom"/>
              <w:rPr>
                <w:rFonts w:ascii="宋体" w:hAnsi="宋体" w:eastAsia="宋体" w:cs="宋体"/>
                <w:color w:val="auto"/>
                <w:sz w:val="21"/>
                <w:szCs w:val="21"/>
                <w:highlight w:val="none"/>
              </w:rPr>
            </w:pPr>
          </w:p>
        </w:tc>
        <w:tc>
          <w:tcPr>
            <w:tcW w:w="1316" w:type="dxa"/>
            <w:vAlign w:val="center"/>
          </w:tcPr>
          <w:p>
            <w:pPr>
              <w:spacing w:after="0"/>
              <w:jc w:val="center"/>
              <w:textAlignment w:val="bottom"/>
              <w:rPr>
                <w:rFonts w:ascii="宋体" w:hAnsi="宋体" w:eastAsia="宋体" w:cs="宋体"/>
                <w:color w:val="auto"/>
                <w:sz w:val="21"/>
                <w:szCs w:val="21"/>
                <w:highlight w:val="none"/>
              </w:rPr>
            </w:pPr>
          </w:p>
        </w:tc>
        <w:tc>
          <w:tcPr>
            <w:tcW w:w="1067" w:type="dxa"/>
            <w:vAlign w:val="center"/>
          </w:tcPr>
          <w:p>
            <w:pPr>
              <w:spacing w:after="0"/>
              <w:jc w:val="center"/>
              <w:textAlignment w:val="bottom"/>
              <w:rPr>
                <w:rFonts w:ascii="宋体" w:hAnsi="宋体" w:eastAsia="宋体" w:cs="宋体"/>
                <w:color w:val="auto"/>
                <w:sz w:val="21"/>
                <w:szCs w:val="21"/>
                <w:highlight w:val="none"/>
              </w:rPr>
            </w:pPr>
          </w:p>
        </w:tc>
        <w:tc>
          <w:tcPr>
            <w:tcW w:w="1150" w:type="dxa"/>
            <w:vAlign w:val="center"/>
          </w:tcPr>
          <w:p>
            <w:pPr>
              <w:spacing w:after="0"/>
              <w:jc w:val="center"/>
              <w:textAlignment w:val="bottom"/>
              <w:rPr>
                <w:rFonts w:ascii="宋体" w:hAnsi="宋体" w:eastAsia="宋体" w:cs="宋体"/>
                <w:color w:val="auto"/>
                <w:sz w:val="21"/>
                <w:szCs w:val="21"/>
                <w:highlight w:val="none"/>
              </w:rPr>
            </w:pPr>
          </w:p>
        </w:tc>
        <w:tc>
          <w:tcPr>
            <w:tcW w:w="850" w:type="dxa"/>
            <w:vAlign w:val="center"/>
          </w:tcPr>
          <w:p>
            <w:pPr>
              <w:spacing w:after="0"/>
              <w:jc w:val="center"/>
              <w:textAlignment w:val="bottom"/>
              <w:rPr>
                <w:rFonts w:ascii="宋体" w:hAnsi="宋体" w:eastAsia="宋体" w:cs="宋体"/>
                <w:color w:val="auto"/>
                <w:sz w:val="21"/>
                <w:szCs w:val="21"/>
                <w:highlight w:val="none"/>
              </w:rPr>
            </w:pPr>
          </w:p>
        </w:tc>
        <w:tc>
          <w:tcPr>
            <w:tcW w:w="833" w:type="dxa"/>
            <w:vAlign w:val="center"/>
          </w:tcPr>
          <w:p>
            <w:pPr>
              <w:spacing w:after="0"/>
              <w:jc w:val="center"/>
              <w:textAlignment w:val="bottom"/>
              <w:rPr>
                <w:rFonts w:ascii="宋体" w:hAnsi="宋体" w:eastAsia="宋体" w:cs="宋体"/>
                <w:color w:val="auto"/>
                <w:sz w:val="21"/>
                <w:szCs w:val="21"/>
                <w:highlight w:val="none"/>
              </w:rPr>
            </w:pPr>
          </w:p>
        </w:tc>
        <w:tc>
          <w:tcPr>
            <w:tcW w:w="1050"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81" w:type="dxa"/>
            <w:vAlign w:val="center"/>
          </w:tcPr>
          <w:p>
            <w:pPr>
              <w:spacing w:after="0"/>
              <w:jc w:val="center"/>
              <w:textAlignment w:val="bottom"/>
              <w:rPr>
                <w:rFonts w:ascii="宋体" w:hAnsi="宋体" w:eastAsia="宋体" w:cs="宋体"/>
                <w:color w:val="auto"/>
                <w:sz w:val="21"/>
                <w:szCs w:val="21"/>
                <w:highlight w:val="none"/>
              </w:rPr>
            </w:pPr>
          </w:p>
        </w:tc>
        <w:tc>
          <w:tcPr>
            <w:tcW w:w="1316" w:type="dxa"/>
            <w:vAlign w:val="center"/>
          </w:tcPr>
          <w:p>
            <w:pPr>
              <w:spacing w:after="0"/>
              <w:jc w:val="center"/>
              <w:textAlignment w:val="bottom"/>
              <w:rPr>
                <w:rFonts w:ascii="宋体" w:hAnsi="宋体" w:eastAsia="宋体" w:cs="宋体"/>
                <w:color w:val="auto"/>
                <w:sz w:val="21"/>
                <w:szCs w:val="21"/>
                <w:highlight w:val="none"/>
              </w:rPr>
            </w:pPr>
          </w:p>
        </w:tc>
        <w:tc>
          <w:tcPr>
            <w:tcW w:w="1067" w:type="dxa"/>
            <w:vAlign w:val="center"/>
          </w:tcPr>
          <w:p>
            <w:pPr>
              <w:spacing w:after="0"/>
              <w:jc w:val="center"/>
              <w:textAlignment w:val="bottom"/>
              <w:rPr>
                <w:rFonts w:ascii="宋体" w:hAnsi="宋体" w:eastAsia="宋体" w:cs="宋体"/>
                <w:color w:val="auto"/>
                <w:sz w:val="21"/>
                <w:szCs w:val="21"/>
                <w:highlight w:val="none"/>
              </w:rPr>
            </w:pPr>
          </w:p>
        </w:tc>
        <w:tc>
          <w:tcPr>
            <w:tcW w:w="1150" w:type="dxa"/>
            <w:vAlign w:val="center"/>
          </w:tcPr>
          <w:p>
            <w:pPr>
              <w:spacing w:after="0"/>
              <w:jc w:val="center"/>
              <w:textAlignment w:val="bottom"/>
              <w:rPr>
                <w:rFonts w:ascii="宋体" w:hAnsi="宋体" w:eastAsia="宋体" w:cs="宋体"/>
                <w:color w:val="auto"/>
                <w:sz w:val="21"/>
                <w:szCs w:val="21"/>
                <w:highlight w:val="none"/>
              </w:rPr>
            </w:pPr>
          </w:p>
        </w:tc>
        <w:tc>
          <w:tcPr>
            <w:tcW w:w="850" w:type="dxa"/>
            <w:vAlign w:val="center"/>
          </w:tcPr>
          <w:p>
            <w:pPr>
              <w:spacing w:after="0"/>
              <w:jc w:val="center"/>
              <w:textAlignment w:val="bottom"/>
              <w:rPr>
                <w:rFonts w:ascii="宋体" w:hAnsi="宋体" w:eastAsia="宋体" w:cs="宋体"/>
                <w:color w:val="auto"/>
                <w:sz w:val="21"/>
                <w:szCs w:val="21"/>
                <w:highlight w:val="none"/>
              </w:rPr>
            </w:pPr>
          </w:p>
        </w:tc>
        <w:tc>
          <w:tcPr>
            <w:tcW w:w="833" w:type="dxa"/>
            <w:vAlign w:val="center"/>
          </w:tcPr>
          <w:p>
            <w:pPr>
              <w:spacing w:after="0"/>
              <w:jc w:val="center"/>
              <w:textAlignment w:val="bottom"/>
              <w:rPr>
                <w:rFonts w:ascii="宋体" w:hAnsi="宋体" w:eastAsia="宋体" w:cs="宋体"/>
                <w:color w:val="auto"/>
                <w:sz w:val="21"/>
                <w:szCs w:val="21"/>
                <w:highlight w:val="none"/>
              </w:rPr>
            </w:pPr>
          </w:p>
        </w:tc>
        <w:tc>
          <w:tcPr>
            <w:tcW w:w="1050"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81" w:type="dxa"/>
            <w:vAlign w:val="center"/>
          </w:tcPr>
          <w:p>
            <w:pPr>
              <w:spacing w:after="0"/>
              <w:jc w:val="center"/>
              <w:textAlignment w:val="bottom"/>
              <w:rPr>
                <w:rFonts w:ascii="宋体" w:hAnsi="宋体" w:eastAsia="宋体" w:cs="宋体"/>
                <w:color w:val="auto"/>
                <w:sz w:val="21"/>
                <w:szCs w:val="21"/>
                <w:highlight w:val="none"/>
              </w:rPr>
            </w:pPr>
          </w:p>
        </w:tc>
        <w:tc>
          <w:tcPr>
            <w:tcW w:w="1316" w:type="dxa"/>
            <w:vAlign w:val="center"/>
          </w:tcPr>
          <w:p>
            <w:pPr>
              <w:spacing w:after="0"/>
              <w:jc w:val="center"/>
              <w:textAlignment w:val="bottom"/>
              <w:rPr>
                <w:rFonts w:ascii="宋体" w:hAnsi="宋体" w:eastAsia="宋体" w:cs="宋体"/>
                <w:color w:val="auto"/>
                <w:sz w:val="21"/>
                <w:szCs w:val="21"/>
                <w:highlight w:val="none"/>
              </w:rPr>
            </w:pPr>
          </w:p>
        </w:tc>
        <w:tc>
          <w:tcPr>
            <w:tcW w:w="1067" w:type="dxa"/>
            <w:vAlign w:val="center"/>
          </w:tcPr>
          <w:p>
            <w:pPr>
              <w:spacing w:after="0"/>
              <w:jc w:val="center"/>
              <w:textAlignment w:val="bottom"/>
              <w:rPr>
                <w:rFonts w:ascii="宋体" w:hAnsi="宋体" w:eastAsia="宋体" w:cs="宋体"/>
                <w:color w:val="auto"/>
                <w:sz w:val="21"/>
                <w:szCs w:val="21"/>
                <w:highlight w:val="none"/>
              </w:rPr>
            </w:pPr>
          </w:p>
        </w:tc>
        <w:tc>
          <w:tcPr>
            <w:tcW w:w="1150" w:type="dxa"/>
            <w:vAlign w:val="center"/>
          </w:tcPr>
          <w:p>
            <w:pPr>
              <w:spacing w:after="0"/>
              <w:jc w:val="center"/>
              <w:textAlignment w:val="bottom"/>
              <w:rPr>
                <w:rFonts w:ascii="宋体" w:hAnsi="宋体" w:eastAsia="宋体" w:cs="宋体"/>
                <w:color w:val="auto"/>
                <w:sz w:val="21"/>
                <w:szCs w:val="21"/>
                <w:highlight w:val="none"/>
              </w:rPr>
            </w:pPr>
          </w:p>
        </w:tc>
        <w:tc>
          <w:tcPr>
            <w:tcW w:w="850" w:type="dxa"/>
            <w:vAlign w:val="center"/>
          </w:tcPr>
          <w:p>
            <w:pPr>
              <w:spacing w:after="0"/>
              <w:jc w:val="center"/>
              <w:textAlignment w:val="bottom"/>
              <w:rPr>
                <w:rFonts w:ascii="宋体" w:hAnsi="宋体" w:eastAsia="宋体" w:cs="宋体"/>
                <w:color w:val="auto"/>
                <w:sz w:val="21"/>
                <w:szCs w:val="21"/>
                <w:highlight w:val="none"/>
              </w:rPr>
            </w:pPr>
          </w:p>
        </w:tc>
        <w:tc>
          <w:tcPr>
            <w:tcW w:w="833" w:type="dxa"/>
            <w:vAlign w:val="center"/>
          </w:tcPr>
          <w:p>
            <w:pPr>
              <w:spacing w:after="0"/>
              <w:jc w:val="center"/>
              <w:textAlignment w:val="bottom"/>
              <w:rPr>
                <w:rFonts w:ascii="宋体" w:hAnsi="宋体" w:eastAsia="宋体" w:cs="宋体"/>
                <w:color w:val="auto"/>
                <w:sz w:val="21"/>
                <w:szCs w:val="21"/>
                <w:highlight w:val="none"/>
              </w:rPr>
            </w:pPr>
          </w:p>
        </w:tc>
        <w:tc>
          <w:tcPr>
            <w:tcW w:w="1050"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2256" w:type="dxa"/>
            <w:gridSpan w:val="2"/>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总计</w:t>
            </w:r>
          </w:p>
        </w:tc>
        <w:tc>
          <w:tcPr>
            <w:tcW w:w="6266" w:type="dxa"/>
            <w:gridSpan w:val="6"/>
            <w:vAlign w:val="center"/>
          </w:tcPr>
          <w:p>
            <w:pPr>
              <w:spacing w:after="0"/>
              <w:rPr>
                <w:rFonts w:ascii="宋体" w:hAnsi="宋体" w:eastAsia="宋体" w:cs="宋体"/>
                <w:color w:val="auto"/>
                <w:sz w:val="21"/>
                <w:szCs w:val="21"/>
                <w:highlight w:val="none"/>
              </w:rPr>
            </w:pPr>
            <w:r>
              <w:rPr>
                <w:rStyle w:val="36"/>
                <w:rFonts w:hint="eastAsia" w:ascii="宋体" w:hAnsi="宋体" w:eastAsia="宋体" w:cs="宋体"/>
                <w:color w:val="auto"/>
                <w:sz w:val="21"/>
                <w:szCs w:val="21"/>
                <w:highlight w:val="none"/>
              </w:rPr>
              <w:t>￥    元（大写人民币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8" w:hRule="atLeast"/>
        </w:trPr>
        <w:tc>
          <w:tcPr>
            <w:tcW w:w="8522" w:type="dxa"/>
            <w:gridSpan w:val="8"/>
            <w:vAlign w:val="center"/>
          </w:tcPr>
          <w:p>
            <w:pPr>
              <w:tabs>
                <w:tab w:val="left" w:pos="284"/>
              </w:tabs>
              <w:spacing w:after="0"/>
              <w:rPr>
                <w:rStyle w:val="36"/>
                <w:rFonts w:ascii="宋体" w:hAnsi="宋体" w:eastAsia="宋体" w:cs="宋体"/>
                <w:b/>
                <w:color w:val="auto"/>
                <w:sz w:val="21"/>
                <w:szCs w:val="21"/>
                <w:highlight w:val="none"/>
              </w:rPr>
            </w:pPr>
            <w:r>
              <w:rPr>
                <w:rStyle w:val="36"/>
                <w:rFonts w:hint="eastAsia" w:ascii="宋体" w:hAnsi="宋体" w:eastAsia="宋体" w:cs="宋体"/>
                <w:b/>
                <w:color w:val="auto"/>
                <w:sz w:val="21"/>
                <w:szCs w:val="21"/>
                <w:highlight w:val="none"/>
              </w:rPr>
              <w:t>注：1、投标人在“货物（服务）分项报价表”中的报价内容中，如有属于节能产品或环境标志产的，必须在此表单独列明且提供相应的证明材料，否则在计算价格得分时不予以相应的扣除；</w:t>
            </w:r>
          </w:p>
          <w:p>
            <w:pPr>
              <w:tabs>
                <w:tab w:val="left" w:pos="284"/>
              </w:tabs>
              <w:spacing w:after="0"/>
              <w:rPr>
                <w:rStyle w:val="36"/>
                <w:rFonts w:ascii="宋体" w:hAnsi="宋体" w:eastAsia="宋体" w:cs="宋体"/>
                <w:b/>
                <w:color w:val="auto"/>
                <w:sz w:val="21"/>
                <w:szCs w:val="21"/>
                <w:highlight w:val="none"/>
              </w:rPr>
            </w:pPr>
            <w:r>
              <w:rPr>
                <w:rStyle w:val="36"/>
                <w:rFonts w:hint="eastAsia" w:ascii="宋体" w:hAnsi="宋体" w:eastAsia="宋体" w:cs="宋体"/>
                <w:b/>
                <w:color w:val="auto"/>
                <w:sz w:val="21"/>
                <w:szCs w:val="21"/>
                <w:highlight w:val="none"/>
              </w:rPr>
              <w:t>2、投标人应该如实填写，如投标人所投产品中无节能或环保产品的，请留空或删除此表！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8522" w:type="dxa"/>
            <w:gridSpan w:val="8"/>
            <w:vAlign w:val="center"/>
          </w:tcPr>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tabs>
                <w:tab w:val="left" w:pos="284"/>
              </w:tabs>
              <w:spacing w:after="0"/>
              <w:rPr>
                <w:rStyle w:val="36"/>
                <w:rFonts w:ascii="宋体" w:hAnsi="宋体" w:eastAsia="宋体" w:cs="宋体"/>
                <w:b/>
                <w:color w:val="auto"/>
                <w:sz w:val="21"/>
                <w:szCs w:val="21"/>
                <w:highlight w:val="none"/>
              </w:rPr>
            </w:pPr>
            <w:r>
              <w:rPr>
                <w:rFonts w:hint="eastAsia" w:ascii="宋体" w:hAnsi="宋体" w:eastAsia="宋体"/>
                <w:color w:val="auto"/>
                <w:sz w:val="21"/>
                <w:szCs w:val="21"/>
                <w:highlight w:val="none"/>
              </w:rPr>
              <w:t>日期：</w:t>
            </w:r>
          </w:p>
        </w:tc>
      </w:tr>
    </w:tbl>
    <w:p>
      <w:pPr>
        <w:jc w:val="both"/>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96" w:name="_Toc20013"/>
      <w:r>
        <w:rPr>
          <w:rFonts w:hint="eastAsia" w:ascii="宋体" w:hAnsi="宋体" w:eastAsia="宋体"/>
          <w:color w:val="auto"/>
          <w:sz w:val="21"/>
          <w:szCs w:val="21"/>
          <w:highlight w:val="none"/>
        </w:rPr>
        <w:t>附件5. 法定代表人证明书格式</w:t>
      </w:r>
      <w:bookmarkEnd w:id="96"/>
    </w:p>
    <w:p>
      <w:pP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法定代表人证明书</w:t>
      </w:r>
    </w:p>
    <w:p>
      <w:pPr>
        <w:pStyle w:val="29"/>
        <w:spacing w:line="420" w:lineRule="atLeast"/>
        <w:ind w:firstLine="0" w:firstLineChars="0"/>
        <w:rPr>
          <w:rFonts w:ascii="宋体" w:eastAsia="宋体"/>
          <w:color w:val="auto"/>
          <w:sz w:val="21"/>
          <w:szCs w:val="21"/>
          <w:highlight w:val="none"/>
        </w:rPr>
      </w:pPr>
      <w:r>
        <w:rPr>
          <w:rFonts w:hint="eastAsia" w:ascii="宋体" w:eastAsia="宋体"/>
          <w:color w:val="auto"/>
          <w:sz w:val="21"/>
          <w:szCs w:val="21"/>
          <w:highlight w:val="none"/>
        </w:rPr>
        <w:t>致：</w:t>
      </w:r>
      <w:r>
        <w:rPr>
          <w:rFonts w:hint="eastAsia" w:ascii="宋体" w:eastAsia="宋体"/>
          <w:color w:val="auto"/>
          <w:sz w:val="21"/>
          <w:szCs w:val="21"/>
          <w:highlight w:val="none"/>
          <w:lang w:eastAsia="zh-CN"/>
        </w:rPr>
        <w:t>三方诚信招标有限公司</w:t>
      </w:r>
      <w:r>
        <w:rPr>
          <w:rFonts w:hint="eastAsia" w:ascii="宋体" w:eastAsia="宋体"/>
          <w:color w:val="auto"/>
          <w:sz w:val="21"/>
          <w:szCs w:val="21"/>
          <w:highlight w:val="none"/>
        </w:rPr>
        <w:t>东莞分公司</w:t>
      </w:r>
    </w:p>
    <w:p>
      <w:pPr>
        <w:pStyle w:val="29"/>
        <w:spacing w:line="420" w:lineRule="atLeast"/>
        <w:ind w:firstLine="433"/>
        <w:rPr>
          <w:rFonts w:ascii="宋体" w:eastAsia="宋体"/>
          <w:color w:val="auto"/>
          <w:sz w:val="21"/>
          <w:szCs w:val="21"/>
          <w:highlight w:val="none"/>
        </w:rPr>
      </w:pPr>
    </w:p>
    <w:p>
      <w:pPr>
        <w:pStyle w:val="29"/>
        <w:spacing w:line="420" w:lineRule="atLeast"/>
        <w:ind w:firstLine="433"/>
        <w:rPr>
          <w:rFonts w:ascii="宋体" w:eastAsia="宋体"/>
          <w:color w:val="auto"/>
          <w:sz w:val="21"/>
          <w:szCs w:val="21"/>
          <w:highlight w:val="none"/>
          <w:u w:val="single"/>
        </w:rPr>
      </w:pPr>
      <w:r>
        <w:rPr>
          <w:rFonts w:hint="eastAsia" w:ascii="宋体" w:eastAsia="宋体"/>
          <w:color w:val="auto"/>
          <w:sz w:val="21"/>
          <w:szCs w:val="21"/>
          <w:highlight w:val="none"/>
        </w:rPr>
        <w:t>投标人名称:</w:t>
      </w:r>
    </w:p>
    <w:p>
      <w:pPr>
        <w:pStyle w:val="29"/>
        <w:spacing w:line="420" w:lineRule="atLeast"/>
        <w:ind w:firstLine="433"/>
        <w:rPr>
          <w:rFonts w:ascii="宋体" w:eastAsia="宋体"/>
          <w:color w:val="auto"/>
          <w:sz w:val="21"/>
          <w:szCs w:val="21"/>
          <w:highlight w:val="none"/>
          <w:u w:val="single"/>
        </w:rPr>
      </w:pPr>
      <w:r>
        <w:rPr>
          <w:rFonts w:hint="eastAsia" w:ascii="宋体" w:eastAsia="宋体"/>
          <w:color w:val="auto"/>
          <w:sz w:val="21"/>
          <w:szCs w:val="21"/>
          <w:highlight w:val="none"/>
        </w:rPr>
        <w:t>单 位 性质：</w:t>
      </w:r>
    </w:p>
    <w:p>
      <w:pPr>
        <w:pStyle w:val="29"/>
        <w:spacing w:line="420" w:lineRule="atLeast"/>
        <w:ind w:firstLine="433"/>
        <w:rPr>
          <w:rFonts w:ascii="宋体" w:eastAsia="宋体"/>
          <w:color w:val="auto"/>
          <w:sz w:val="21"/>
          <w:szCs w:val="21"/>
          <w:highlight w:val="none"/>
          <w:u w:val="single"/>
        </w:rPr>
      </w:pPr>
      <w:r>
        <w:rPr>
          <w:rFonts w:hint="eastAsia" w:ascii="宋体" w:eastAsia="宋体"/>
          <w:color w:val="auto"/>
          <w:sz w:val="21"/>
          <w:szCs w:val="21"/>
          <w:highlight w:val="none"/>
        </w:rPr>
        <w:t>地      址：</w:t>
      </w:r>
    </w:p>
    <w:p>
      <w:pPr>
        <w:pStyle w:val="29"/>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成 立 时间：</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年</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月</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日</w:t>
      </w:r>
    </w:p>
    <w:p>
      <w:pPr>
        <w:pStyle w:val="29"/>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经 营 期限：</w:t>
      </w:r>
      <w:r>
        <w:rPr>
          <w:rFonts w:hint="eastAsia" w:ascii="宋体" w:eastAsia="宋体"/>
          <w:color w:val="auto"/>
          <w:sz w:val="21"/>
          <w:szCs w:val="21"/>
          <w:highlight w:val="none"/>
          <w:u w:val="single"/>
        </w:rPr>
        <w:t xml:space="preserve">                                      </w:t>
      </w:r>
    </w:p>
    <w:p>
      <w:pPr>
        <w:pStyle w:val="29"/>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姓名：</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性别：</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年龄：</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职务：</w:t>
      </w:r>
      <w:r>
        <w:rPr>
          <w:rFonts w:hint="eastAsia" w:ascii="宋体" w:eastAsia="宋体"/>
          <w:color w:val="auto"/>
          <w:sz w:val="21"/>
          <w:szCs w:val="21"/>
          <w:highlight w:val="none"/>
          <w:u w:val="single"/>
        </w:rPr>
        <w:t xml:space="preserve">            </w:t>
      </w:r>
    </w:p>
    <w:p>
      <w:pPr>
        <w:pStyle w:val="29"/>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系</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（投标人名称）的法定代表人。</w:t>
      </w:r>
    </w:p>
    <w:p>
      <w:pPr>
        <w:spacing w:line="420" w:lineRule="atLeas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特此证明。</w:t>
      </w:r>
    </w:p>
    <w:p>
      <w:pPr>
        <w:pStyle w:val="29"/>
        <w:spacing w:line="500" w:lineRule="atLeast"/>
        <w:ind w:firstLine="3517" w:firstLineChars="1675"/>
        <w:rPr>
          <w:rFonts w:ascii="宋体" w:eastAsia="宋体"/>
          <w:color w:val="auto"/>
          <w:sz w:val="21"/>
          <w:szCs w:val="21"/>
          <w:highlight w:val="none"/>
        </w:rPr>
      </w:pPr>
    </w:p>
    <w:p>
      <w:pPr>
        <w:pStyle w:val="29"/>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投标人名称（加盖公章）：</w:t>
      </w:r>
      <w:r>
        <w:rPr>
          <w:rFonts w:hint="eastAsia" w:ascii="宋体" w:eastAsia="宋体"/>
          <w:color w:val="auto"/>
          <w:sz w:val="21"/>
          <w:szCs w:val="21"/>
          <w:highlight w:val="none"/>
          <w:u w:val="single"/>
        </w:rPr>
        <w:t xml:space="preserve">                  </w:t>
      </w:r>
    </w:p>
    <w:p>
      <w:pPr>
        <w:pStyle w:val="29"/>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法定代表人（签名或盖私章）：</w:t>
      </w:r>
      <w:r>
        <w:rPr>
          <w:rFonts w:hint="eastAsia" w:ascii="宋体" w:eastAsia="宋体"/>
          <w:color w:val="auto"/>
          <w:sz w:val="21"/>
          <w:szCs w:val="21"/>
          <w:highlight w:val="none"/>
          <w:u w:val="single"/>
        </w:rPr>
        <w:t xml:space="preserve">               </w:t>
      </w:r>
    </w:p>
    <w:p>
      <w:pPr>
        <w:pStyle w:val="29"/>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法定代表人联系方式：</w:t>
      </w:r>
    </w:p>
    <w:p>
      <w:pPr>
        <w:pStyle w:val="29"/>
        <w:spacing w:line="500" w:lineRule="atLeast"/>
        <w:ind w:firstLine="3517" w:firstLineChars="1675"/>
        <w:rPr>
          <w:rFonts w:ascii="宋体" w:eastAsia="宋体"/>
          <w:color w:val="auto"/>
          <w:sz w:val="21"/>
          <w:szCs w:val="21"/>
          <w:highlight w:val="none"/>
          <w:u w:val="single"/>
        </w:rPr>
      </w:pPr>
      <w:r>
        <w:rPr>
          <w:rFonts w:hint="eastAsia" w:ascii="宋体" w:eastAsia="宋体"/>
          <w:color w:val="auto"/>
          <w:sz w:val="21"/>
          <w:szCs w:val="21"/>
          <w:highlight w:val="none"/>
        </w:rPr>
        <w:t>身份证号码：</w:t>
      </w:r>
      <w:r>
        <w:rPr>
          <w:rFonts w:hint="eastAsia" w:ascii="宋体" w:eastAsia="宋体"/>
          <w:color w:val="auto"/>
          <w:sz w:val="21"/>
          <w:szCs w:val="21"/>
          <w:highlight w:val="none"/>
          <w:u w:val="single"/>
        </w:rPr>
        <w:t xml:space="preserve">                              </w:t>
      </w:r>
    </w:p>
    <w:p>
      <w:pPr>
        <w:pStyle w:val="29"/>
        <w:spacing w:line="500" w:lineRule="atLeast"/>
        <w:ind w:firstLine="3507" w:firstLineChars="1670"/>
        <w:rPr>
          <w:rFonts w:ascii="宋体" w:eastAsia="宋体"/>
          <w:color w:val="auto"/>
          <w:sz w:val="21"/>
          <w:szCs w:val="21"/>
          <w:highlight w:val="none"/>
        </w:rPr>
      </w:pPr>
      <w:r>
        <w:rPr>
          <w:rFonts w:hint="eastAsia" w:ascii="宋体" w:eastAsia="宋体"/>
          <w:color w:val="auto"/>
          <w:sz w:val="21"/>
          <w:szCs w:val="21"/>
          <w:highlight w:val="none"/>
        </w:rPr>
        <w:t>日     期：</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年</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月</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日</w:t>
      </w:r>
    </w:p>
    <w:p>
      <w:pPr>
        <w:ind w:firstLine="420" w:firstLineChars="200"/>
        <w:rPr>
          <w:rFonts w:ascii="宋体" w:hAnsi="宋体" w:eastAsia="宋体"/>
          <w:color w:val="auto"/>
          <w:sz w:val="21"/>
          <w:szCs w:val="21"/>
          <w:highlight w:val="none"/>
        </w:rPr>
      </w:pPr>
    </w:p>
    <w:p>
      <w:pPr>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注：法定代表人身份证明书需附法人代表身份证复印件。</w:t>
      </w:r>
    </w:p>
    <w:tbl>
      <w:tblPr>
        <w:tblStyle w:val="18"/>
        <w:tblW w:w="83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82"/>
        <w:gridCol w:w="418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17" w:hRule="atLeast"/>
          <w:jc w:val="center"/>
        </w:trPr>
        <w:tc>
          <w:tcPr>
            <w:tcW w:w="4182" w:type="dxa"/>
            <w:vAlign w:val="center"/>
          </w:tcPr>
          <w:p>
            <w:pPr>
              <w:pStyle w:val="29"/>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正面</w:t>
            </w:r>
          </w:p>
        </w:tc>
        <w:tc>
          <w:tcPr>
            <w:tcW w:w="4182" w:type="dxa"/>
            <w:vAlign w:val="center"/>
          </w:tcPr>
          <w:p>
            <w:pPr>
              <w:pStyle w:val="29"/>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背面</w:t>
            </w:r>
          </w:p>
        </w:tc>
      </w:tr>
    </w:tbl>
    <w:p>
      <w:pPr>
        <w:rPr>
          <w:color w:val="auto"/>
          <w:highlight w:val="none"/>
        </w:rPr>
      </w:pPr>
    </w:p>
    <w:p>
      <w:pPr>
        <w:adjustRightInd/>
        <w:snapToGrid/>
        <w:spacing w:line="276" w:lineRule="auto"/>
        <w:rPr>
          <w:rFonts w:ascii="楷体_GB2312" w:eastAsia="楷体_GB2312" w:hAnsiTheme="majorHAnsi" w:cstheme="majorBidi"/>
          <w:b/>
          <w:bCs/>
          <w:color w:val="auto"/>
          <w:sz w:val="24"/>
          <w:szCs w:val="28"/>
          <w:highlight w:val="none"/>
        </w:rPr>
      </w:pPr>
      <w:r>
        <w:rPr>
          <w:rFonts w:ascii="楷体_GB2312" w:eastAsia="楷体_GB2312"/>
          <w:color w:val="auto"/>
          <w:sz w:val="24"/>
          <w:highlight w:val="none"/>
        </w:rPr>
        <w:br w:type="page"/>
      </w:r>
    </w:p>
    <w:p>
      <w:pPr>
        <w:pStyle w:val="5"/>
        <w:widowControl w:val="0"/>
        <w:overflowPunct w:val="0"/>
        <w:spacing w:before="0" w:after="0" w:line="240" w:lineRule="auto"/>
        <w:rPr>
          <w:color w:val="auto"/>
          <w:highlight w:val="none"/>
        </w:rPr>
      </w:pPr>
      <w:bookmarkStart w:id="97" w:name="_Toc13402"/>
      <w:r>
        <w:rPr>
          <w:rFonts w:hint="eastAsia" w:ascii="宋体" w:hAnsi="宋体" w:eastAsia="宋体"/>
          <w:color w:val="auto"/>
          <w:sz w:val="21"/>
          <w:szCs w:val="21"/>
          <w:highlight w:val="none"/>
        </w:rPr>
        <w:t>附件6.法定代表人授权书格式</w:t>
      </w:r>
      <w:bookmarkEnd w:id="97"/>
    </w:p>
    <w:p>
      <w:pP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法定代表人授权书</w:t>
      </w:r>
    </w:p>
    <w:p>
      <w:pPr>
        <w:pStyle w:val="29"/>
        <w:spacing w:line="420" w:lineRule="atLeast"/>
        <w:ind w:firstLine="0" w:firstLineChars="0"/>
        <w:rPr>
          <w:rFonts w:ascii="宋体" w:eastAsia="宋体"/>
          <w:color w:val="auto"/>
          <w:sz w:val="21"/>
          <w:szCs w:val="21"/>
          <w:highlight w:val="none"/>
        </w:rPr>
      </w:pPr>
      <w:r>
        <w:rPr>
          <w:rFonts w:hint="eastAsia" w:ascii="宋体" w:eastAsia="宋体"/>
          <w:color w:val="auto"/>
          <w:sz w:val="21"/>
          <w:szCs w:val="21"/>
          <w:highlight w:val="none"/>
        </w:rPr>
        <w:t>致：</w:t>
      </w:r>
      <w:r>
        <w:rPr>
          <w:rFonts w:hint="eastAsia" w:ascii="宋体" w:eastAsia="宋体"/>
          <w:color w:val="auto"/>
          <w:sz w:val="21"/>
          <w:szCs w:val="21"/>
          <w:highlight w:val="none"/>
          <w:lang w:eastAsia="zh-CN"/>
        </w:rPr>
        <w:t>三方诚信招标有限公司</w:t>
      </w:r>
      <w:r>
        <w:rPr>
          <w:rFonts w:hint="eastAsia" w:ascii="宋体" w:eastAsia="宋体"/>
          <w:color w:val="auto"/>
          <w:sz w:val="21"/>
          <w:szCs w:val="21"/>
          <w:highlight w:val="none"/>
        </w:rPr>
        <w:t>东莞分公司</w:t>
      </w:r>
    </w:p>
    <w:p>
      <w:pPr>
        <w:pStyle w:val="29"/>
        <w:spacing w:line="420" w:lineRule="atLeast"/>
        <w:ind w:firstLine="433"/>
        <w:rPr>
          <w:rFonts w:ascii="宋体" w:eastAsia="宋体"/>
          <w:color w:val="auto"/>
          <w:sz w:val="21"/>
          <w:szCs w:val="21"/>
          <w:highlight w:val="none"/>
        </w:rPr>
      </w:pPr>
    </w:p>
    <w:p>
      <w:pPr>
        <w:spacing w:after="0"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本授权书声明：注册于</w:t>
      </w:r>
      <w:r>
        <w:rPr>
          <w:rFonts w:hint="eastAsia" w:ascii="宋体" w:hAnsi="宋体" w:eastAsia="宋体" w:cs="Times New Roman"/>
          <w:color w:val="auto"/>
          <w:sz w:val="21"/>
          <w:szCs w:val="21"/>
          <w:highlight w:val="none"/>
          <w:u w:val="single"/>
        </w:rPr>
        <w:t>（国家或地区的名称）</w:t>
      </w:r>
      <w:r>
        <w:rPr>
          <w:rFonts w:hint="eastAsia" w:ascii="宋体" w:hAnsi="宋体" w:eastAsia="宋体" w:cs="Times New Roman"/>
          <w:color w:val="auto"/>
          <w:sz w:val="21"/>
          <w:szCs w:val="21"/>
          <w:highlight w:val="none"/>
        </w:rPr>
        <w:t>的</w:t>
      </w:r>
      <w:r>
        <w:rPr>
          <w:rFonts w:hint="eastAsia" w:ascii="宋体" w:hAnsi="宋体" w:eastAsia="宋体" w:cs="Times New Roman"/>
          <w:color w:val="auto"/>
          <w:sz w:val="21"/>
          <w:szCs w:val="21"/>
          <w:highlight w:val="none"/>
          <w:u w:val="single"/>
        </w:rPr>
        <w:t>（单位名称）</w:t>
      </w:r>
      <w:r>
        <w:rPr>
          <w:rFonts w:hint="eastAsia" w:ascii="宋体" w:hAnsi="宋体" w:eastAsia="宋体" w:cs="Times New Roman"/>
          <w:color w:val="auto"/>
          <w:sz w:val="21"/>
          <w:szCs w:val="21"/>
          <w:highlight w:val="none"/>
        </w:rPr>
        <w:t>的在下面签字的</w:t>
      </w:r>
      <w:r>
        <w:rPr>
          <w:rFonts w:hint="eastAsia" w:ascii="宋体" w:hAnsi="宋体" w:eastAsia="宋体" w:cs="Times New Roman"/>
          <w:color w:val="auto"/>
          <w:sz w:val="21"/>
          <w:szCs w:val="21"/>
          <w:highlight w:val="none"/>
          <w:u w:val="single"/>
        </w:rPr>
        <w:t>（法定代表人姓名、职务）</w:t>
      </w:r>
      <w:r>
        <w:rPr>
          <w:rFonts w:hint="eastAsia" w:ascii="宋体" w:hAnsi="宋体" w:eastAsia="宋体" w:cs="Times New Roman"/>
          <w:color w:val="auto"/>
          <w:sz w:val="21"/>
          <w:szCs w:val="21"/>
          <w:highlight w:val="none"/>
        </w:rPr>
        <w:t>代表本单位授权</w:t>
      </w:r>
      <w:r>
        <w:rPr>
          <w:rFonts w:hint="eastAsia" w:ascii="宋体" w:hAnsi="宋体" w:eastAsia="宋体" w:cs="Times New Roman"/>
          <w:color w:val="auto"/>
          <w:sz w:val="21"/>
          <w:szCs w:val="21"/>
          <w:highlight w:val="none"/>
          <w:u w:val="single"/>
        </w:rPr>
        <w:t>（单位名称）</w:t>
      </w:r>
      <w:r>
        <w:rPr>
          <w:rFonts w:hint="eastAsia" w:ascii="宋体" w:hAnsi="宋体" w:eastAsia="宋体" w:cs="Times New Roman"/>
          <w:color w:val="auto"/>
          <w:sz w:val="21"/>
          <w:szCs w:val="21"/>
          <w:highlight w:val="none"/>
        </w:rPr>
        <w:t>的在下面签字的</w:t>
      </w:r>
      <w:r>
        <w:rPr>
          <w:rFonts w:hint="eastAsia" w:ascii="宋体" w:hAnsi="宋体" w:eastAsia="宋体" w:cs="Times New Roman"/>
          <w:color w:val="auto"/>
          <w:sz w:val="21"/>
          <w:szCs w:val="21"/>
          <w:highlight w:val="none"/>
          <w:u w:val="single"/>
        </w:rPr>
        <w:t>（被授权人的姓名、职务）</w:t>
      </w:r>
      <w:r>
        <w:rPr>
          <w:rFonts w:hint="eastAsia" w:ascii="宋体" w:hAnsi="宋体" w:eastAsia="宋体" w:cs="Times New Roman"/>
          <w:color w:val="auto"/>
          <w:sz w:val="21"/>
          <w:szCs w:val="21"/>
          <w:highlight w:val="none"/>
        </w:rPr>
        <w:t>为本单位的合法代理人，就</w:t>
      </w:r>
      <w:r>
        <w:rPr>
          <w:rFonts w:hint="eastAsia" w:ascii="宋体" w:hAnsi="宋体" w:eastAsia="宋体" w:cs="Times New Roman"/>
          <w:color w:val="auto"/>
          <w:sz w:val="21"/>
          <w:szCs w:val="21"/>
          <w:highlight w:val="none"/>
          <w:u w:val="single"/>
        </w:rPr>
        <w:t>（项目名称）</w:t>
      </w:r>
      <w:r>
        <w:rPr>
          <w:rFonts w:hint="eastAsia" w:ascii="宋体" w:hAnsi="宋体" w:eastAsia="宋体" w:cs="Times New Roman"/>
          <w:color w:val="auto"/>
          <w:sz w:val="21"/>
          <w:szCs w:val="21"/>
          <w:highlight w:val="none"/>
        </w:rPr>
        <w:t>投标及参加项目谈判，以本单位名义处理一切与之有关的事务。</w:t>
      </w:r>
    </w:p>
    <w:p>
      <w:pPr>
        <w:spacing w:after="0" w:line="360" w:lineRule="auto"/>
        <w:ind w:firstLine="315" w:firstLineChars="15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本授权书于</w:t>
      </w:r>
      <w:r>
        <w:rPr>
          <w:rFonts w:hint="eastAsia" w:ascii="宋体" w:hAnsi="宋体" w:eastAsia="宋体" w:cs="Times New Roman"/>
          <w:color w:val="auto"/>
          <w:sz w:val="21"/>
          <w:szCs w:val="21"/>
          <w:highlight w:val="none"/>
          <w:u w:val="single"/>
        </w:rPr>
        <w:t>　　</w:t>
      </w:r>
      <w:r>
        <w:rPr>
          <w:rFonts w:hint="eastAsia" w:ascii="宋体" w:hAnsi="宋体" w:eastAsia="宋体" w:cs="Times New Roman"/>
          <w:color w:val="auto"/>
          <w:sz w:val="21"/>
          <w:szCs w:val="21"/>
          <w:highlight w:val="none"/>
        </w:rPr>
        <w:t>年</w:t>
      </w:r>
      <w:r>
        <w:rPr>
          <w:rFonts w:hint="eastAsia" w:ascii="宋体" w:hAnsi="宋体" w:eastAsia="宋体" w:cs="Times New Roman"/>
          <w:color w:val="auto"/>
          <w:sz w:val="21"/>
          <w:szCs w:val="21"/>
          <w:highlight w:val="none"/>
          <w:u w:val="single"/>
        </w:rPr>
        <w:t>　　</w:t>
      </w:r>
      <w:r>
        <w:rPr>
          <w:rFonts w:hint="eastAsia" w:ascii="宋体" w:hAnsi="宋体" w:eastAsia="宋体" w:cs="Times New Roman"/>
          <w:color w:val="auto"/>
          <w:sz w:val="21"/>
          <w:szCs w:val="21"/>
          <w:highlight w:val="none"/>
        </w:rPr>
        <w:t>月</w:t>
      </w:r>
      <w:r>
        <w:rPr>
          <w:rFonts w:hint="eastAsia" w:ascii="宋体" w:hAnsi="宋体" w:eastAsia="宋体" w:cs="Times New Roman"/>
          <w:color w:val="auto"/>
          <w:sz w:val="21"/>
          <w:szCs w:val="21"/>
          <w:highlight w:val="none"/>
          <w:u w:val="single"/>
        </w:rPr>
        <w:t>　　</w:t>
      </w:r>
      <w:r>
        <w:rPr>
          <w:rFonts w:hint="eastAsia" w:ascii="宋体" w:hAnsi="宋体" w:eastAsia="宋体" w:cs="Times New Roman"/>
          <w:color w:val="auto"/>
          <w:sz w:val="21"/>
          <w:szCs w:val="21"/>
          <w:highlight w:val="none"/>
        </w:rPr>
        <w:t>日签字生效，特此声明。</w:t>
      </w:r>
    </w:p>
    <w:p>
      <w:pPr>
        <w:pStyle w:val="29"/>
        <w:spacing w:line="500" w:lineRule="atLeast"/>
        <w:ind w:firstLine="3517" w:firstLineChars="1675"/>
        <w:rPr>
          <w:rFonts w:ascii="宋体" w:eastAsia="宋体"/>
          <w:color w:val="auto"/>
          <w:sz w:val="21"/>
          <w:szCs w:val="21"/>
          <w:highlight w:val="none"/>
        </w:rPr>
      </w:pPr>
    </w:p>
    <w:p>
      <w:pPr>
        <w:pStyle w:val="29"/>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投标人名称（加盖公章）：</w:t>
      </w:r>
      <w:r>
        <w:rPr>
          <w:rFonts w:hint="eastAsia" w:ascii="宋体" w:eastAsia="宋体"/>
          <w:color w:val="auto"/>
          <w:sz w:val="21"/>
          <w:szCs w:val="21"/>
          <w:highlight w:val="none"/>
          <w:u w:val="single"/>
        </w:rPr>
        <w:t xml:space="preserve">                 </w:t>
      </w:r>
    </w:p>
    <w:p>
      <w:pPr>
        <w:pStyle w:val="29"/>
        <w:spacing w:line="500" w:lineRule="atLeast"/>
        <w:ind w:firstLine="3517" w:firstLineChars="1675"/>
        <w:rPr>
          <w:rFonts w:ascii="宋体" w:eastAsia="宋体"/>
          <w:color w:val="auto"/>
          <w:sz w:val="21"/>
          <w:szCs w:val="21"/>
          <w:highlight w:val="none"/>
          <w:u w:val="single"/>
        </w:rPr>
      </w:pPr>
      <w:r>
        <w:rPr>
          <w:rFonts w:hint="eastAsia" w:ascii="宋体" w:eastAsia="宋体"/>
          <w:color w:val="auto"/>
          <w:sz w:val="21"/>
          <w:szCs w:val="21"/>
          <w:highlight w:val="none"/>
        </w:rPr>
        <w:t>法定代表人签字（签名或盖私章）：</w:t>
      </w:r>
      <w:r>
        <w:rPr>
          <w:rFonts w:hint="eastAsia" w:ascii="宋体" w:eastAsia="宋体"/>
          <w:color w:val="auto"/>
          <w:sz w:val="21"/>
          <w:szCs w:val="21"/>
          <w:highlight w:val="none"/>
          <w:u w:val="single"/>
        </w:rPr>
        <w:t xml:space="preserve">               </w:t>
      </w:r>
    </w:p>
    <w:p>
      <w:pPr>
        <w:pStyle w:val="29"/>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被授权人签字：</w:t>
      </w:r>
    </w:p>
    <w:p>
      <w:pPr>
        <w:pStyle w:val="29"/>
        <w:spacing w:line="500" w:lineRule="atLeast"/>
        <w:ind w:firstLine="3517" w:firstLineChars="1675"/>
        <w:rPr>
          <w:rFonts w:ascii="宋体" w:eastAsia="宋体"/>
          <w:color w:val="auto"/>
          <w:sz w:val="21"/>
          <w:szCs w:val="21"/>
          <w:highlight w:val="none"/>
          <w:u w:val="single"/>
        </w:rPr>
      </w:pPr>
      <w:r>
        <w:rPr>
          <w:rFonts w:hint="eastAsia" w:ascii="宋体" w:eastAsia="宋体"/>
          <w:color w:val="auto"/>
          <w:sz w:val="21"/>
          <w:szCs w:val="21"/>
          <w:highlight w:val="none"/>
        </w:rPr>
        <w:t>职务：</w:t>
      </w:r>
      <w:r>
        <w:rPr>
          <w:rFonts w:hint="eastAsia" w:ascii="宋体" w:eastAsia="宋体"/>
          <w:color w:val="auto"/>
          <w:sz w:val="21"/>
          <w:szCs w:val="21"/>
          <w:highlight w:val="none"/>
          <w:u w:val="single"/>
        </w:rPr>
        <w:t xml:space="preserve">   </w:t>
      </w:r>
    </w:p>
    <w:p>
      <w:pPr>
        <w:pStyle w:val="29"/>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 xml:space="preserve">移动电话： </w:t>
      </w:r>
    </w:p>
    <w:p>
      <w:pPr>
        <w:pStyle w:val="29"/>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详细通讯地址：</w:t>
      </w:r>
    </w:p>
    <w:p>
      <w:pPr>
        <w:pStyle w:val="29"/>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 xml:space="preserve">邮箱：                          </w:t>
      </w:r>
    </w:p>
    <w:p>
      <w:pPr>
        <w:pStyle w:val="29"/>
        <w:spacing w:line="500" w:lineRule="atLeast"/>
        <w:ind w:firstLine="3507" w:firstLineChars="1670"/>
        <w:rPr>
          <w:rFonts w:ascii="宋体" w:eastAsia="宋体"/>
          <w:color w:val="auto"/>
          <w:sz w:val="21"/>
          <w:szCs w:val="21"/>
          <w:highlight w:val="none"/>
        </w:rPr>
      </w:pPr>
      <w:r>
        <w:rPr>
          <w:rFonts w:hint="eastAsia" w:ascii="宋体" w:eastAsia="宋体"/>
          <w:color w:val="auto"/>
          <w:sz w:val="21"/>
          <w:szCs w:val="21"/>
          <w:highlight w:val="none"/>
        </w:rPr>
        <w:t>日     期：</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年</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月</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日</w:t>
      </w:r>
    </w:p>
    <w:p>
      <w:pPr>
        <w:pStyle w:val="29"/>
        <w:spacing w:line="460" w:lineRule="exact"/>
        <w:ind w:firstLine="433"/>
        <w:rPr>
          <w:rFonts w:ascii="宋体" w:eastAsia="宋体"/>
          <w:color w:val="auto"/>
          <w:sz w:val="21"/>
          <w:szCs w:val="21"/>
          <w:highlight w:val="none"/>
        </w:rPr>
      </w:pPr>
    </w:p>
    <w:p>
      <w:pPr>
        <w:ind w:firstLine="420" w:firstLineChars="200"/>
        <w:rPr>
          <w:rFonts w:eastAsia="宋体"/>
          <w:color w:val="auto"/>
          <w:highlight w:val="none"/>
        </w:rPr>
      </w:pPr>
      <w:r>
        <w:rPr>
          <w:rFonts w:hint="eastAsia" w:ascii="宋体" w:hAnsi="宋体" w:eastAsia="宋体"/>
          <w:color w:val="auto"/>
          <w:sz w:val="21"/>
          <w:szCs w:val="21"/>
          <w:highlight w:val="none"/>
        </w:rPr>
        <w:t>须附：被授权人身份证复印件。</w:t>
      </w:r>
    </w:p>
    <w:tbl>
      <w:tblPr>
        <w:tblStyle w:val="18"/>
        <w:tblW w:w="84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232"/>
        <w:gridCol w:w="423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661" w:hRule="atLeast"/>
          <w:jc w:val="center"/>
        </w:trPr>
        <w:tc>
          <w:tcPr>
            <w:tcW w:w="4232" w:type="dxa"/>
            <w:vAlign w:val="center"/>
          </w:tcPr>
          <w:p>
            <w:pPr>
              <w:pStyle w:val="29"/>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正面</w:t>
            </w:r>
          </w:p>
        </w:tc>
        <w:tc>
          <w:tcPr>
            <w:tcW w:w="4232" w:type="dxa"/>
            <w:vAlign w:val="center"/>
          </w:tcPr>
          <w:p>
            <w:pPr>
              <w:pStyle w:val="29"/>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背面</w:t>
            </w:r>
          </w:p>
        </w:tc>
      </w:tr>
    </w:tbl>
    <w:p>
      <w:pPr>
        <w:adjustRightInd/>
        <w:snapToGrid/>
        <w:spacing w:line="276" w:lineRule="auto"/>
        <w:rPr>
          <w:color w:val="auto"/>
          <w:highlight w:val="none"/>
        </w:rPr>
      </w:pPr>
      <w:bookmarkStart w:id="98" w:name="_Toc22486"/>
      <w:r>
        <w:rPr>
          <w:rFonts w:hint="eastAsia" w:ascii="宋体" w:hAnsi="宋体" w:eastAsia="宋体"/>
          <w:color w:val="auto"/>
          <w:sz w:val="21"/>
          <w:szCs w:val="21"/>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99" w:name="_Toc20880"/>
      <w:r>
        <w:rPr>
          <w:rFonts w:hint="eastAsia" w:ascii="宋体" w:hAnsi="宋体" w:eastAsia="宋体"/>
          <w:color w:val="auto"/>
          <w:sz w:val="21"/>
          <w:szCs w:val="21"/>
          <w:highlight w:val="none"/>
        </w:rPr>
        <w:t>附件7.资格申明</w:t>
      </w:r>
      <w:bookmarkEnd w:id="99"/>
    </w:p>
    <w:p>
      <w:pPr>
        <w:jc w:val="center"/>
        <w:rPr>
          <w:rFonts w:ascii="黑体" w:eastAsia="黑体"/>
          <w:color w:val="auto"/>
          <w:sz w:val="28"/>
          <w:szCs w:val="28"/>
          <w:highlight w:val="none"/>
        </w:rPr>
      </w:pPr>
      <w:r>
        <w:rPr>
          <w:rFonts w:hint="eastAsia" w:ascii="黑体" w:eastAsia="黑体"/>
          <w:color w:val="auto"/>
          <w:sz w:val="28"/>
          <w:szCs w:val="28"/>
          <w:highlight w:val="none"/>
        </w:rPr>
        <w:t>资格申明</w:t>
      </w:r>
    </w:p>
    <w:p>
      <w:pPr>
        <w:pStyle w:val="29"/>
        <w:spacing w:line="420" w:lineRule="atLeast"/>
        <w:ind w:firstLine="0" w:firstLineChars="0"/>
        <w:rPr>
          <w:rFonts w:ascii="宋体" w:eastAsia="宋体"/>
          <w:color w:val="auto"/>
          <w:sz w:val="21"/>
          <w:szCs w:val="21"/>
          <w:highlight w:val="none"/>
        </w:rPr>
      </w:pPr>
      <w:r>
        <w:rPr>
          <w:rFonts w:hint="eastAsia" w:ascii="宋体" w:eastAsia="宋体"/>
          <w:color w:val="auto"/>
          <w:sz w:val="21"/>
          <w:szCs w:val="21"/>
          <w:highlight w:val="none"/>
          <w:lang w:eastAsia="zh-CN"/>
        </w:rPr>
        <w:t>三方诚信招标有限公司</w:t>
      </w:r>
      <w:r>
        <w:rPr>
          <w:rFonts w:hint="eastAsia" w:ascii="宋体" w:eastAsia="宋体"/>
          <w:color w:val="auto"/>
          <w:sz w:val="21"/>
          <w:szCs w:val="21"/>
          <w:highlight w:val="none"/>
        </w:rPr>
        <w:t>东莞分公司：</w:t>
      </w:r>
    </w:p>
    <w:p>
      <w:pPr>
        <w:spacing w:after="0" w:line="360" w:lineRule="auto"/>
        <w:ind w:firstLine="420" w:firstLineChars="200"/>
        <w:rPr>
          <w:rFonts w:ascii="宋体" w:hAnsi="宋体" w:eastAsia="宋体"/>
          <w:color w:val="auto"/>
          <w:sz w:val="21"/>
          <w:szCs w:val="21"/>
          <w:highlight w:val="none"/>
        </w:rPr>
      </w:pP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我方</w:t>
      </w:r>
      <w:r>
        <w:rPr>
          <w:rFonts w:ascii="宋体" w:hAnsi="宋体" w:eastAsia="宋体"/>
          <w:color w:val="auto"/>
          <w:sz w:val="21"/>
          <w:szCs w:val="21"/>
          <w:highlight w:val="none"/>
        </w:rPr>
        <w:t>愿响应</w:t>
      </w:r>
      <w:r>
        <w:rPr>
          <w:rFonts w:hint="eastAsia" w:ascii="宋体" w:hAnsi="宋体" w:eastAsia="宋体"/>
          <w:color w:val="auto"/>
          <w:sz w:val="21"/>
          <w:szCs w:val="21"/>
          <w:highlight w:val="none"/>
        </w:rPr>
        <w:t>贵</w:t>
      </w:r>
      <w:r>
        <w:rPr>
          <w:rFonts w:ascii="宋体" w:hAnsi="宋体" w:eastAsia="宋体"/>
          <w:color w:val="auto"/>
          <w:sz w:val="21"/>
          <w:szCs w:val="21"/>
          <w:highlight w:val="none"/>
        </w:rPr>
        <w:t>方</w:t>
      </w:r>
      <w:r>
        <w:rPr>
          <w:rFonts w:hint="eastAsia" w:ascii="宋体" w:hAnsi="宋体" w:eastAsia="宋体"/>
          <w:color w:val="auto"/>
          <w:sz w:val="21"/>
          <w:szCs w:val="21"/>
          <w:highlight w:val="none"/>
        </w:rPr>
        <w:t>关于（项目名称）</w:t>
      </w:r>
      <w:r>
        <w:rPr>
          <w:rFonts w:ascii="宋体" w:hAnsi="宋体" w:eastAsia="宋体"/>
          <w:color w:val="auto"/>
          <w:sz w:val="21"/>
          <w:szCs w:val="21"/>
          <w:highlight w:val="none"/>
        </w:rPr>
        <w:t>（</w:t>
      </w:r>
      <w:r>
        <w:rPr>
          <w:rFonts w:hint="eastAsia" w:ascii="宋体" w:hAnsi="宋体" w:eastAsia="宋体"/>
          <w:color w:val="auto"/>
          <w:sz w:val="21"/>
          <w:szCs w:val="21"/>
          <w:highlight w:val="none"/>
          <w:lang w:eastAsia="zh-CN"/>
        </w:rPr>
        <w:t>采购项目编号</w:t>
      </w:r>
      <w:r>
        <w:rPr>
          <w:rFonts w:ascii="宋体" w:hAnsi="宋体" w:eastAsia="宋体"/>
          <w:color w:val="auto"/>
          <w:sz w:val="21"/>
          <w:szCs w:val="21"/>
          <w:highlight w:val="none"/>
        </w:rPr>
        <w:t>）</w:t>
      </w:r>
      <w:r>
        <w:rPr>
          <w:rFonts w:hint="eastAsia" w:ascii="宋体" w:hAnsi="宋体" w:eastAsia="宋体"/>
          <w:color w:val="auto"/>
          <w:sz w:val="21"/>
          <w:szCs w:val="21"/>
          <w:highlight w:val="none"/>
        </w:rPr>
        <w:t>的</w:t>
      </w:r>
      <w:r>
        <w:rPr>
          <w:rFonts w:ascii="宋体" w:hAnsi="宋体" w:eastAsia="宋体"/>
          <w:color w:val="auto"/>
          <w:sz w:val="21"/>
          <w:szCs w:val="21"/>
          <w:highlight w:val="none"/>
        </w:rPr>
        <w:t>投标邀请，参与投标，提供用户需求书中规定的</w:t>
      </w:r>
      <w:r>
        <w:rPr>
          <w:rFonts w:hint="eastAsia" w:ascii="宋体" w:hAnsi="宋体" w:eastAsia="宋体"/>
          <w:color w:val="auto"/>
          <w:sz w:val="21"/>
          <w:szCs w:val="21"/>
          <w:highlight w:val="none"/>
        </w:rPr>
        <w:t>货物及相关服务</w:t>
      </w:r>
      <w:r>
        <w:rPr>
          <w:rFonts w:ascii="宋体" w:hAnsi="宋体" w:eastAsia="宋体"/>
          <w:color w:val="auto"/>
          <w:sz w:val="21"/>
          <w:szCs w:val="21"/>
          <w:highlight w:val="none"/>
        </w:rPr>
        <w:t>，并按招标文件要求提交所附资格文件且声明和保证如下：</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一、我方具备</w:t>
      </w:r>
      <w:r>
        <w:rPr>
          <w:rFonts w:hint="eastAsia" w:ascii="宋体" w:hAnsi="宋体" w:eastAsia="宋体"/>
          <w:color w:val="auto"/>
          <w:sz w:val="21"/>
          <w:szCs w:val="21"/>
          <w:highlight w:val="none"/>
          <w:lang w:eastAsia="zh-CN"/>
        </w:rPr>
        <w:t>投标人邀请中所要求得</w:t>
      </w:r>
      <w:r>
        <w:rPr>
          <w:rFonts w:hint="eastAsia" w:ascii="宋体" w:hAnsi="宋体" w:eastAsia="宋体"/>
          <w:color w:val="auto"/>
          <w:sz w:val="21"/>
          <w:szCs w:val="21"/>
          <w:highlight w:val="none"/>
        </w:rPr>
        <w:t>资格条件，已清楚招标文件所有要求及有关规定；并承诺参加本次政府采购活动中，如有违法、违规、弄虚作假行为，所造成的损失、不良后果及法律责任，一律由我方承担；</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二、</w:t>
      </w:r>
      <w:r>
        <w:rPr>
          <w:rFonts w:ascii="宋体" w:hAnsi="宋体" w:eastAsia="宋体"/>
          <w:color w:val="auto"/>
          <w:sz w:val="21"/>
          <w:szCs w:val="21"/>
          <w:highlight w:val="none"/>
        </w:rPr>
        <w:t>我方依法注册，在法律上、财务上和运作上完全独立于（采购人名称）（采购人）及</w:t>
      </w:r>
      <w:r>
        <w:rPr>
          <w:rFonts w:hint="eastAsia" w:ascii="宋体" w:hAnsi="宋体" w:eastAsia="宋体"/>
          <w:color w:val="auto"/>
          <w:sz w:val="21"/>
          <w:szCs w:val="21"/>
          <w:highlight w:val="none"/>
          <w:lang w:eastAsia="zh-CN"/>
        </w:rPr>
        <w:t>三方诚信招标有限公司</w:t>
      </w:r>
      <w:r>
        <w:rPr>
          <w:rFonts w:hint="eastAsia" w:ascii="宋体" w:hAnsi="宋体" w:eastAsia="宋体"/>
          <w:color w:val="auto"/>
          <w:sz w:val="21"/>
          <w:szCs w:val="21"/>
          <w:highlight w:val="none"/>
        </w:rPr>
        <w:t>东莞分公司</w:t>
      </w:r>
      <w:r>
        <w:rPr>
          <w:rFonts w:ascii="宋体" w:hAnsi="宋体" w:eastAsia="宋体"/>
          <w:color w:val="auto"/>
          <w:sz w:val="21"/>
          <w:szCs w:val="21"/>
          <w:highlight w:val="none"/>
        </w:rPr>
        <w:t>（采购代理机构）</w:t>
      </w:r>
      <w:r>
        <w:rPr>
          <w:rFonts w:hint="eastAsia" w:ascii="宋体" w:hAnsi="宋体" w:eastAsia="宋体"/>
          <w:color w:val="auto"/>
          <w:sz w:val="21"/>
          <w:szCs w:val="21"/>
          <w:highlight w:val="none"/>
        </w:rPr>
        <w:t>。</w:t>
      </w:r>
    </w:p>
    <w:p>
      <w:pPr>
        <w:pStyle w:val="29"/>
        <w:spacing w:line="500" w:lineRule="atLeast"/>
        <w:ind w:firstLine="3517" w:firstLineChars="1675"/>
        <w:rPr>
          <w:rFonts w:ascii="宋体" w:eastAsia="宋体"/>
          <w:color w:val="auto"/>
          <w:sz w:val="21"/>
          <w:szCs w:val="21"/>
          <w:highlight w:val="none"/>
        </w:rPr>
      </w:pPr>
    </w:p>
    <w:p>
      <w:pPr>
        <w:pStyle w:val="29"/>
        <w:spacing w:line="500" w:lineRule="atLeast"/>
        <w:ind w:firstLine="3517" w:firstLineChars="1675"/>
        <w:rPr>
          <w:rFonts w:ascii="宋体" w:eastAsia="宋体"/>
          <w:color w:val="auto"/>
          <w:sz w:val="21"/>
          <w:szCs w:val="21"/>
          <w:highlight w:val="none"/>
        </w:rPr>
      </w:pPr>
    </w:p>
    <w:p>
      <w:pPr>
        <w:pStyle w:val="29"/>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t>投标人名称（加盖公章）：</w:t>
      </w:r>
      <w:r>
        <w:rPr>
          <w:rFonts w:hint="eastAsia" w:ascii="宋体" w:eastAsia="宋体"/>
          <w:color w:val="auto"/>
          <w:sz w:val="21"/>
          <w:szCs w:val="21"/>
          <w:highlight w:val="none"/>
          <w:u w:val="single"/>
        </w:rPr>
        <w:t xml:space="preserve">                 </w:t>
      </w:r>
    </w:p>
    <w:p>
      <w:pPr>
        <w:pStyle w:val="29"/>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t>法定代表人签字（签名或盖私章）：</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 xml:space="preserve">                        </w:t>
      </w:r>
    </w:p>
    <w:p>
      <w:pPr>
        <w:pStyle w:val="29"/>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t>日     期：</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年</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月</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日</w:t>
      </w:r>
    </w:p>
    <w:p>
      <w:pPr>
        <w:pStyle w:val="29"/>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100" w:name="_Toc17384"/>
      <w:r>
        <w:rPr>
          <w:rFonts w:hint="eastAsia" w:ascii="宋体" w:hAnsi="宋体" w:eastAsia="宋体"/>
          <w:color w:val="auto"/>
          <w:sz w:val="21"/>
          <w:szCs w:val="21"/>
          <w:highlight w:val="none"/>
        </w:rPr>
        <w:t>附件8.营业执照</w:t>
      </w:r>
      <w:bookmarkEnd w:id="100"/>
    </w:p>
    <w:p>
      <w:pPr>
        <w:jc w:val="center"/>
        <w:rPr>
          <w:rFonts w:ascii="黑体" w:eastAsia="黑体"/>
          <w:color w:val="auto"/>
          <w:sz w:val="28"/>
          <w:szCs w:val="28"/>
          <w:highlight w:val="none"/>
        </w:rPr>
      </w:pPr>
      <w:bookmarkStart w:id="101" w:name="_Toc1511"/>
      <w:bookmarkStart w:id="102" w:name="_Toc24210"/>
      <w:bookmarkStart w:id="103" w:name="_Toc17470"/>
      <w:bookmarkStart w:id="104" w:name="_Toc4926"/>
      <w:bookmarkStart w:id="105" w:name="_Toc5919"/>
      <w:r>
        <w:rPr>
          <w:rFonts w:hint="eastAsia" w:ascii="黑体" w:eastAsia="黑体"/>
          <w:color w:val="auto"/>
          <w:sz w:val="28"/>
          <w:szCs w:val="28"/>
          <w:highlight w:val="none"/>
        </w:rPr>
        <w:t>营业执照</w:t>
      </w:r>
      <w:bookmarkEnd w:id="101"/>
      <w:bookmarkEnd w:id="102"/>
      <w:bookmarkEnd w:id="103"/>
      <w:bookmarkEnd w:id="104"/>
      <w:bookmarkEnd w:id="105"/>
    </w:p>
    <w:p>
      <w:pPr>
        <w:jc w:val="center"/>
        <w:rPr>
          <w:rFonts w:ascii="黑体" w:eastAsia="黑体"/>
          <w:color w:val="auto"/>
          <w:sz w:val="28"/>
          <w:szCs w:val="28"/>
          <w:highlight w:val="none"/>
        </w:rPr>
      </w:pPr>
      <w:r>
        <w:rPr>
          <w:rFonts w:hint="eastAsia" w:ascii="黑体" w:eastAsia="黑体"/>
          <w:color w:val="auto"/>
          <w:sz w:val="28"/>
          <w:szCs w:val="28"/>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106" w:name="_Toc9057"/>
      <w:r>
        <w:rPr>
          <w:rFonts w:hint="eastAsia" w:ascii="宋体" w:hAnsi="宋体" w:eastAsia="宋体"/>
          <w:color w:val="auto"/>
          <w:sz w:val="21"/>
          <w:szCs w:val="21"/>
          <w:highlight w:val="none"/>
        </w:rPr>
        <w:t>附件9.相关资质证明文件</w:t>
      </w:r>
      <w:bookmarkEnd w:id="106"/>
    </w:p>
    <w:p>
      <w:pPr>
        <w:rPr>
          <w:color w:val="auto"/>
          <w:highlight w:val="none"/>
        </w:rPr>
      </w:pPr>
    </w:p>
    <w:p>
      <w:pPr>
        <w:jc w:val="center"/>
        <w:rPr>
          <w:rFonts w:ascii="黑体" w:eastAsia="黑体"/>
          <w:color w:val="auto"/>
          <w:sz w:val="28"/>
          <w:szCs w:val="28"/>
          <w:highlight w:val="none"/>
        </w:rPr>
      </w:pPr>
      <w:bookmarkStart w:id="107" w:name="_Toc13458"/>
      <w:bookmarkStart w:id="108" w:name="_Toc16698"/>
      <w:bookmarkStart w:id="109" w:name="_Toc30307"/>
      <w:bookmarkStart w:id="110" w:name="_Toc9592"/>
      <w:bookmarkStart w:id="111" w:name="_Toc16233"/>
      <w:r>
        <w:rPr>
          <w:rFonts w:hint="eastAsia" w:ascii="黑体" w:eastAsia="黑体"/>
          <w:color w:val="auto"/>
          <w:sz w:val="28"/>
          <w:szCs w:val="28"/>
          <w:highlight w:val="none"/>
        </w:rPr>
        <w:t>相关资质证明文件</w:t>
      </w:r>
      <w:bookmarkEnd w:id="98"/>
      <w:bookmarkEnd w:id="107"/>
      <w:bookmarkEnd w:id="108"/>
      <w:bookmarkEnd w:id="109"/>
      <w:bookmarkEnd w:id="110"/>
      <w:bookmarkEnd w:id="111"/>
    </w:p>
    <w:p>
      <w:pPr>
        <w:jc w:val="center"/>
        <w:rPr>
          <w:rFonts w:ascii="黑体" w:eastAsia="黑体"/>
          <w:color w:val="auto"/>
          <w:sz w:val="28"/>
          <w:szCs w:val="28"/>
          <w:highlight w:val="none"/>
        </w:rPr>
      </w:pPr>
      <w:r>
        <w:rPr>
          <w:rFonts w:hint="eastAsia" w:ascii="黑体" w:eastAsia="黑体"/>
          <w:color w:val="auto"/>
          <w:sz w:val="28"/>
          <w:szCs w:val="28"/>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112" w:name="_Toc25635"/>
      <w:r>
        <w:rPr>
          <w:rFonts w:hint="eastAsia" w:ascii="宋体" w:hAnsi="宋体" w:eastAsia="宋体"/>
          <w:color w:val="auto"/>
          <w:sz w:val="21"/>
          <w:szCs w:val="21"/>
          <w:highlight w:val="none"/>
        </w:rPr>
        <w:t>附件10. 商务条款偏离表格式</w:t>
      </w:r>
      <w:bookmarkEnd w:id="112"/>
    </w:p>
    <w:p>
      <w:pPr>
        <w:jc w:val="center"/>
        <w:rPr>
          <w:rFonts w:ascii="黑体" w:eastAsia="黑体"/>
          <w:color w:val="auto"/>
          <w:sz w:val="28"/>
          <w:szCs w:val="28"/>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商务条款偏离表</w:t>
      </w:r>
    </w:p>
    <w:tbl>
      <w:tblPr>
        <w:tblStyle w:val="18"/>
        <w:tblW w:w="8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20"/>
        <w:gridCol w:w="1360"/>
        <w:gridCol w:w="1587"/>
        <w:gridCol w:w="1133"/>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08"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62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服务项目名称</w:t>
            </w:r>
          </w:p>
        </w:tc>
        <w:tc>
          <w:tcPr>
            <w:tcW w:w="136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招标要求</w:t>
            </w:r>
          </w:p>
        </w:tc>
        <w:tc>
          <w:tcPr>
            <w:tcW w:w="1587"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投标实际响应</w:t>
            </w:r>
          </w:p>
        </w:tc>
        <w:tc>
          <w:tcPr>
            <w:tcW w:w="1133"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是否偏离</w:t>
            </w:r>
          </w:p>
        </w:tc>
        <w:tc>
          <w:tcPr>
            <w:tcW w:w="173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bl>
    <w:p>
      <w:pPr>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rPr>
          <w:rFonts w:ascii="宋体" w:hAnsi="宋体" w:eastAsia="宋体"/>
          <w:color w:val="auto"/>
          <w:sz w:val="21"/>
          <w:szCs w:val="21"/>
          <w:highlight w:val="none"/>
        </w:rPr>
      </w:pPr>
    </w:p>
    <w:p>
      <w:pPr>
        <w:ind w:left="718" w:hanging="718" w:hangingChars="342"/>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1、投标人应对照招标文件商务要求，说明已对招标文件的商务内容做出了实质性的响应。</w:t>
      </w:r>
    </w:p>
    <w:p>
      <w:pPr>
        <w:spacing w:after="0"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2、商务条款包括但不限于合格投标人资格、付款方式、履约保证金、完工期、售后服务、检验及验收、保险、争端的解决等要求。</w:t>
      </w:r>
    </w:p>
    <w:p>
      <w:pPr>
        <w:spacing w:after="0" w:line="360" w:lineRule="auto"/>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3、投标人若未填写完整则视为完全响应招标文件的商务要求，因此</w:t>
      </w:r>
      <w:r>
        <w:rPr>
          <w:rFonts w:hint="eastAsia" w:ascii="宋体" w:hAnsi="宋体" w:eastAsia="宋体"/>
          <w:color w:val="auto"/>
          <w:sz w:val="21"/>
          <w:szCs w:val="21"/>
          <w:highlight w:val="none"/>
        </w:rPr>
        <w:t>对投标人投标产生负面影响的，投标人自行承担后果。</w:t>
      </w:r>
    </w:p>
    <w:p>
      <w:pPr>
        <w:adjustRightInd/>
        <w:snapToGrid/>
        <w:spacing w:line="276" w:lineRule="auto"/>
        <w:rPr>
          <w:color w:val="auto"/>
          <w:highlight w:val="none"/>
        </w:rPr>
      </w:pPr>
    </w:p>
    <w:p>
      <w:pPr>
        <w:adjustRightInd/>
        <w:snapToGrid/>
        <w:spacing w:line="276" w:lineRule="auto"/>
        <w:rPr>
          <w:color w:val="auto"/>
          <w:highlight w:val="none"/>
        </w:rPr>
      </w:pPr>
    </w:p>
    <w:p>
      <w:pPr>
        <w:adjustRightInd/>
        <w:snapToGrid/>
        <w:spacing w:line="276" w:lineRule="auto"/>
        <w:rPr>
          <w:color w:val="auto"/>
          <w:highlight w:val="none"/>
        </w:rPr>
      </w:pPr>
    </w:p>
    <w:p>
      <w:pPr>
        <w:adjustRightInd/>
        <w:snapToGrid/>
        <w:spacing w:line="276" w:lineRule="auto"/>
        <w:rPr>
          <w:color w:val="auto"/>
          <w:highlight w:val="none"/>
        </w:rPr>
      </w:pPr>
    </w:p>
    <w:p>
      <w:pPr>
        <w:adjustRightInd/>
        <w:snapToGrid/>
        <w:spacing w:line="276" w:lineRule="auto"/>
        <w:rPr>
          <w:color w:val="auto"/>
          <w:highlight w:val="none"/>
        </w:rPr>
      </w:pPr>
      <w:r>
        <w:rPr>
          <w:color w:val="auto"/>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113" w:name="_Toc15430"/>
      <w:r>
        <w:rPr>
          <w:rFonts w:hint="eastAsia" w:ascii="宋体" w:hAnsi="宋体" w:eastAsia="宋体"/>
          <w:color w:val="auto"/>
          <w:sz w:val="21"/>
          <w:szCs w:val="21"/>
          <w:highlight w:val="none"/>
        </w:rPr>
        <w:t>附件11. 技术规格偏离表格式</w:t>
      </w:r>
      <w:bookmarkEnd w:id="113"/>
    </w:p>
    <w:p>
      <w:pPr>
        <w:jc w:val="center"/>
        <w:rPr>
          <w:rFonts w:ascii="黑体" w:eastAsia="黑体"/>
          <w:color w:val="auto"/>
          <w:sz w:val="28"/>
          <w:szCs w:val="28"/>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技术规格偏离表</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902"/>
        <w:gridCol w:w="1370"/>
        <w:gridCol w:w="1629"/>
        <w:gridCol w:w="1239"/>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38"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902"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服务项目名称</w:t>
            </w:r>
          </w:p>
        </w:tc>
        <w:tc>
          <w:tcPr>
            <w:tcW w:w="137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招标要求</w:t>
            </w:r>
          </w:p>
        </w:tc>
        <w:tc>
          <w:tcPr>
            <w:tcW w:w="1629"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投标实际响应</w:t>
            </w:r>
          </w:p>
        </w:tc>
        <w:tc>
          <w:tcPr>
            <w:tcW w:w="1239"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是否偏离</w:t>
            </w:r>
          </w:p>
        </w:tc>
        <w:tc>
          <w:tcPr>
            <w:tcW w:w="1544"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bl>
    <w:p>
      <w:pPr>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ind w:firstLine="178" w:firstLineChars="85"/>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1、偏离项中填写“正”、“负”或“无”，说明项中填写原因。</w:t>
      </w:r>
    </w:p>
    <w:p>
      <w:pPr>
        <w:spacing w:after="0"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投标人应对照招标文件技术规格，说明所提供服务已对招标文件的技术规格做出了实质性的响应，并申明与技术规格条文的偏差和例外。特别对有具体参数要求的指标，投标人必须提供所投设备的具体参数值。</w:t>
      </w:r>
    </w:p>
    <w:p>
      <w:pPr>
        <w:spacing w:after="0" w:line="360" w:lineRule="auto"/>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3、投标人若未填写完整则视为完全响应招标文件的技术要求，因此</w:t>
      </w:r>
      <w:r>
        <w:rPr>
          <w:rFonts w:hint="eastAsia" w:ascii="宋体" w:hAnsi="宋体" w:eastAsia="宋体"/>
          <w:color w:val="auto"/>
          <w:sz w:val="21"/>
          <w:szCs w:val="21"/>
          <w:highlight w:val="none"/>
        </w:rPr>
        <w:t>对投标人投标产生负面影响的，投标人自行承担后果。</w:t>
      </w:r>
    </w:p>
    <w:p>
      <w:pPr>
        <w:spacing w:after="0" w:line="360" w:lineRule="auto"/>
        <w:rPr>
          <w:rFonts w:hint="eastAsia" w:ascii="宋体" w:hAnsi="宋体" w:eastAsia="宋体"/>
          <w:color w:val="auto"/>
          <w:sz w:val="21"/>
          <w:szCs w:val="21"/>
          <w:highlight w:val="none"/>
        </w:rPr>
      </w:pPr>
    </w:p>
    <w:p>
      <w:pPr>
        <w:adjustRightInd/>
        <w:snapToGrid/>
        <w:spacing w:line="276" w:lineRule="auto"/>
        <w:rPr>
          <w:color w:val="auto"/>
          <w:highlight w:val="none"/>
        </w:rPr>
      </w:pPr>
    </w:p>
    <w:p>
      <w:pPr>
        <w:adjustRightInd/>
        <w:snapToGrid/>
        <w:spacing w:line="276" w:lineRule="auto"/>
        <w:rPr>
          <w:color w:val="auto"/>
          <w:highlight w:val="none"/>
        </w:rPr>
      </w:pPr>
    </w:p>
    <w:p>
      <w:pPr>
        <w:adjustRightInd/>
        <w:snapToGrid/>
        <w:spacing w:line="276" w:lineRule="auto"/>
        <w:rPr>
          <w:color w:val="auto"/>
          <w:highlight w:val="none"/>
        </w:rPr>
      </w:pPr>
    </w:p>
    <w:p>
      <w:pPr>
        <w:rPr>
          <w:rFonts w:ascii="宋体" w:hAnsi="宋体" w:eastAsia="宋体"/>
          <w:color w:val="auto"/>
          <w:sz w:val="21"/>
          <w:szCs w:val="21"/>
          <w:highlight w:val="none"/>
        </w:rPr>
      </w:pPr>
      <w:bookmarkStart w:id="114" w:name="_Toc17691"/>
      <w:r>
        <w:rPr>
          <w:rFonts w:hint="eastAsia" w:ascii="宋体" w:hAnsi="宋体" w:eastAsia="宋体"/>
          <w:color w:val="auto"/>
          <w:sz w:val="21"/>
          <w:szCs w:val="21"/>
          <w:highlight w:val="none"/>
        </w:rPr>
        <w:br w:type="page"/>
      </w:r>
    </w:p>
    <w:p>
      <w:pPr>
        <w:pStyle w:val="5"/>
        <w:widowControl w:val="0"/>
        <w:overflowPunct w:val="0"/>
        <w:spacing w:before="0" w:after="0" w:line="240" w:lineRule="auto"/>
        <w:rPr>
          <w:rFonts w:ascii="宋体" w:hAnsi="宋体" w:eastAsia="宋体" w:cs="Times New Roman"/>
          <w:b w:val="0"/>
          <w:bCs w:val="0"/>
          <w:color w:val="auto"/>
          <w:sz w:val="32"/>
          <w:szCs w:val="32"/>
          <w:highlight w:val="none"/>
        </w:rPr>
      </w:pPr>
      <w:bookmarkStart w:id="115" w:name="_Toc31958"/>
      <w:r>
        <w:rPr>
          <w:rFonts w:hint="eastAsia" w:ascii="宋体" w:hAnsi="宋体" w:eastAsia="宋体"/>
          <w:color w:val="auto"/>
          <w:sz w:val="21"/>
          <w:szCs w:val="21"/>
          <w:highlight w:val="none"/>
        </w:rPr>
        <w:t>附件12.重要技术参数（▲）响应表</w:t>
      </w:r>
      <w:bookmarkEnd w:id="114"/>
      <w:bookmarkEnd w:id="115"/>
    </w:p>
    <w:p>
      <w:pPr>
        <w:jc w:val="center"/>
        <w:rPr>
          <w:rFonts w:ascii="黑体" w:eastAsia="黑体"/>
          <w:color w:val="auto"/>
          <w:sz w:val="28"/>
          <w:szCs w:val="28"/>
          <w:highlight w:val="none"/>
        </w:rPr>
      </w:pPr>
      <w:bookmarkStart w:id="116" w:name="_Toc4827"/>
      <w:bookmarkStart w:id="117" w:name="_Toc1274"/>
      <w:bookmarkStart w:id="118" w:name="_Toc26078"/>
      <w:bookmarkStart w:id="119" w:name="_Toc18668"/>
      <w:bookmarkStart w:id="120" w:name="_Toc4464"/>
      <w:bookmarkStart w:id="121" w:name="_Toc6080"/>
    </w:p>
    <w:p>
      <w:pPr>
        <w:jc w:val="center"/>
        <w:rPr>
          <w:rFonts w:ascii="黑体" w:eastAsia="黑体"/>
          <w:color w:val="auto"/>
          <w:sz w:val="28"/>
          <w:szCs w:val="28"/>
          <w:highlight w:val="none"/>
        </w:rPr>
      </w:pPr>
      <w:r>
        <w:rPr>
          <w:rFonts w:hint="eastAsia" w:ascii="黑体" w:eastAsia="黑体"/>
          <w:color w:val="auto"/>
          <w:sz w:val="28"/>
          <w:szCs w:val="28"/>
          <w:highlight w:val="none"/>
        </w:rPr>
        <w:t>重要技术参数（▲）响应表</w:t>
      </w:r>
      <w:bookmarkEnd w:id="116"/>
      <w:bookmarkEnd w:id="117"/>
      <w:bookmarkEnd w:id="118"/>
      <w:bookmarkEnd w:id="119"/>
      <w:bookmarkEnd w:id="120"/>
      <w:bookmarkEnd w:id="121"/>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2"/>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5"/>
              <w:widowControl w:val="0"/>
              <w:overflowPunct w:val="0"/>
              <w:spacing w:before="0" w:after="0" w:line="240" w:lineRule="auto"/>
              <w:jc w:val="center"/>
              <w:outlineLvl w:val="3"/>
              <w:rPr>
                <w:rFonts w:ascii="宋体" w:hAnsi="宋体" w:eastAsia="宋体" w:cs="Times New Roman"/>
                <w:color w:val="auto"/>
                <w:sz w:val="21"/>
                <w:szCs w:val="21"/>
                <w:highlight w:val="none"/>
              </w:rPr>
            </w:pPr>
            <w:bookmarkStart w:id="122" w:name="_Toc10045"/>
            <w:bookmarkStart w:id="123" w:name="_Toc27090"/>
            <w:bookmarkStart w:id="124" w:name="_Toc16872"/>
            <w:bookmarkStart w:id="125" w:name="_Toc21739"/>
            <w:bookmarkStart w:id="126" w:name="_Toc2700"/>
            <w:bookmarkStart w:id="127" w:name="_Toc14815"/>
            <w:bookmarkStart w:id="128" w:name="_Toc15903"/>
            <w:bookmarkStart w:id="129" w:name="_Toc12049"/>
            <w:bookmarkStart w:id="130" w:name="_Toc22448"/>
            <w:r>
              <w:rPr>
                <w:rFonts w:hint="eastAsia" w:ascii="宋体" w:hAnsi="宋体" w:eastAsia="宋体" w:cs="Times New Roman"/>
                <w:color w:val="auto"/>
                <w:sz w:val="21"/>
                <w:szCs w:val="21"/>
                <w:highlight w:val="none"/>
              </w:rPr>
              <w:t>技术参数（▲）</w:t>
            </w:r>
            <w:bookmarkEnd w:id="122"/>
            <w:bookmarkEnd w:id="123"/>
            <w:bookmarkEnd w:id="124"/>
            <w:bookmarkEnd w:id="125"/>
            <w:bookmarkEnd w:id="126"/>
            <w:bookmarkEnd w:id="127"/>
            <w:bookmarkEnd w:id="128"/>
            <w:bookmarkEnd w:id="129"/>
            <w:bookmarkEnd w:id="130"/>
          </w:p>
        </w:tc>
        <w:tc>
          <w:tcPr>
            <w:tcW w:w="2842" w:type="dxa"/>
            <w:vAlign w:val="center"/>
          </w:tcPr>
          <w:p>
            <w:pPr>
              <w:pStyle w:val="5"/>
              <w:widowControl w:val="0"/>
              <w:overflowPunct w:val="0"/>
              <w:spacing w:before="0" w:after="0" w:line="240" w:lineRule="auto"/>
              <w:jc w:val="center"/>
              <w:outlineLvl w:val="3"/>
              <w:rPr>
                <w:rFonts w:ascii="宋体" w:hAnsi="宋体" w:eastAsia="宋体" w:cs="Times New Roman"/>
                <w:color w:val="auto"/>
                <w:sz w:val="21"/>
                <w:szCs w:val="21"/>
                <w:highlight w:val="none"/>
              </w:rPr>
            </w:pPr>
            <w:bookmarkStart w:id="131" w:name="_Toc24662"/>
            <w:bookmarkStart w:id="132" w:name="_Toc21809"/>
            <w:bookmarkStart w:id="133" w:name="_Toc32531"/>
            <w:bookmarkStart w:id="134" w:name="_Toc7333"/>
            <w:bookmarkStart w:id="135" w:name="_Toc8312"/>
            <w:bookmarkStart w:id="136" w:name="_Toc22879"/>
            <w:bookmarkStart w:id="137" w:name="_Toc8490"/>
            <w:bookmarkStart w:id="138" w:name="_Toc19251"/>
            <w:bookmarkStart w:id="139" w:name="_Toc27442"/>
            <w:r>
              <w:rPr>
                <w:rFonts w:hint="eastAsia" w:ascii="宋体" w:hAnsi="宋体" w:eastAsia="宋体" w:cs="Times New Roman"/>
                <w:color w:val="auto"/>
                <w:sz w:val="21"/>
                <w:szCs w:val="21"/>
                <w:highlight w:val="none"/>
              </w:rPr>
              <w:t>是否响应</w:t>
            </w:r>
            <w:bookmarkEnd w:id="131"/>
            <w:bookmarkEnd w:id="132"/>
            <w:bookmarkEnd w:id="133"/>
            <w:bookmarkEnd w:id="134"/>
            <w:bookmarkEnd w:id="135"/>
            <w:bookmarkEnd w:id="136"/>
            <w:bookmarkEnd w:id="137"/>
            <w:bookmarkEnd w:id="138"/>
            <w:bookmarkEnd w:id="139"/>
          </w:p>
        </w:tc>
        <w:tc>
          <w:tcPr>
            <w:tcW w:w="2840" w:type="dxa"/>
            <w:vAlign w:val="center"/>
          </w:tcPr>
          <w:p>
            <w:pPr>
              <w:pStyle w:val="5"/>
              <w:widowControl w:val="0"/>
              <w:overflowPunct w:val="0"/>
              <w:spacing w:before="0" w:after="0" w:line="240" w:lineRule="auto"/>
              <w:jc w:val="center"/>
              <w:outlineLvl w:val="3"/>
              <w:rPr>
                <w:rFonts w:ascii="宋体" w:hAnsi="宋体" w:eastAsia="宋体" w:cs="Times New Roman"/>
                <w:color w:val="auto"/>
                <w:sz w:val="21"/>
                <w:szCs w:val="21"/>
                <w:highlight w:val="none"/>
              </w:rPr>
            </w:pPr>
            <w:bookmarkStart w:id="140" w:name="_Toc20820"/>
            <w:bookmarkStart w:id="141" w:name="_Toc20139"/>
            <w:bookmarkStart w:id="142" w:name="_Toc3701"/>
            <w:bookmarkStart w:id="143" w:name="_Toc5563"/>
            <w:bookmarkStart w:id="144" w:name="_Toc1330"/>
            <w:bookmarkStart w:id="145" w:name="_Toc17642"/>
            <w:bookmarkStart w:id="146" w:name="_Toc27185"/>
            <w:bookmarkStart w:id="147" w:name="_Toc5992"/>
            <w:bookmarkStart w:id="148" w:name="_Toc17296"/>
            <w:r>
              <w:rPr>
                <w:rFonts w:hint="eastAsia" w:ascii="宋体" w:hAnsi="宋体" w:eastAsia="宋体" w:cs="Times New Roman"/>
                <w:color w:val="auto"/>
                <w:sz w:val="21"/>
                <w:szCs w:val="21"/>
                <w:highlight w:val="none"/>
              </w:rPr>
              <w:t>页码范围</w:t>
            </w:r>
            <w:bookmarkEnd w:id="140"/>
            <w:bookmarkEnd w:id="141"/>
            <w:bookmarkEnd w:id="142"/>
            <w:bookmarkEnd w:id="143"/>
            <w:bookmarkEnd w:id="144"/>
            <w:bookmarkEnd w:id="145"/>
            <w:bookmarkEnd w:id="146"/>
            <w:bookmarkEnd w:id="147"/>
            <w:bookmarkEnd w:id="14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5"/>
              <w:widowControl w:val="0"/>
              <w:overflowPunct w:val="0"/>
              <w:spacing w:before="0" w:after="0" w:line="240" w:lineRule="auto"/>
              <w:jc w:val="center"/>
              <w:outlineLvl w:val="3"/>
              <w:rPr>
                <w:rFonts w:ascii="宋体" w:hAnsi="宋体" w:eastAsia="宋体" w:cs="Times New Roman"/>
                <w:color w:val="auto"/>
                <w:sz w:val="21"/>
                <w:szCs w:val="21"/>
                <w:highlight w:val="none"/>
              </w:rPr>
            </w:pPr>
          </w:p>
        </w:tc>
        <w:tc>
          <w:tcPr>
            <w:tcW w:w="2842" w:type="dxa"/>
            <w:vAlign w:val="center"/>
          </w:tcPr>
          <w:p>
            <w:pPr>
              <w:pStyle w:val="5"/>
              <w:widowControl w:val="0"/>
              <w:overflowPunct w:val="0"/>
              <w:spacing w:before="0" w:after="0" w:line="240" w:lineRule="auto"/>
              <w:jc w:val="center"/>
              <w:outlineLvl w:val="3"/>
              <w:rPr>
                <w:rFonts w:ascii="宋体" w:hAnsi="宋体" w:eastAsia="宋体" w:cs="Times New Roman"/>
                <w:color w:val="auto"/>
                <w:sz w:val="21"/>
                <w:szCs w:val="21"/>
                <w:highlight w:val="none"/>
              </w:rPr>
            </w:pPr>
          </w:p>
        </w:tc>
        <w:tc>
          <w:tcPr>
            <w:tcW w:w="2840" w:type="dxa"/>
            <w:vAlign w:val="center"/>
          </w:tcPr>
          <w:p>
            <w:pPr>
              <w:pStyle w:val="5"/>
              <w:widowControl w:val="0"/>
              <w:overflowPunct w:val="0"/>
              <w:spacing w:before="0" w:after="0" w:line="240" w:lineRule="auto"/>
              <w:jc w:val="center"/>
              <w:outlineLvl w:val="3"/>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5"/>
              <w:widowControl w:val="0"/>
              <w:overflowPunct w:val="0"/>
              <w:spacing w:before="0" w:after="0" w:line="240" w:lineRule="auto"/>
              <w:jc w:val="center"/>
              <w:outlineLvl w:val="3"/>
              <w:rPr>
                <w:rFonts w:ascii="宋体" w:hAnsi="宋体" w:eastAsia="宋体" w:cs="Times New Roman"/>
                <w:color w:val="auto"/>
                <w:sz w:val="21"/>
                <w:szCs w:val="21"/>
                <w:highlight w:val="none"/>
              </w:rPr>
            </w:pPr>
          </w:p>
        </w:tc>
        <w:tc>
          <w:tcPr>
            <w:tcW w:w="2842" w:type="dxa"/>
            <w:vAlign w:val="center"/>
          </w:tcPr>
          <w:p>
            <w:pPr>
              <w:pStyle w:val="5"/>
              <w:widowControl w:val="0"/>
              <w:overflowPunct w:val="0"/>
              <w:spacing w:before="0" w:after="0" w:line="240" w:lineRule="auto"/>
              <w:jc w:val="center"/>
              <w:outlineLvl w:val="3"/>
              <w:rPr>
                <w:rFonts w:ascii="宋体" w:hAnsi="宋体" w:eastAsia="宋体" w:cs="Times New Roman"/>
                <w:color w:val="auto"/>
                <w:sz w:val="21"/>
                <w:szCs w:val="21"/>
                <w:highlight w:val="none"/>
              </w:rPr>
            </w:pPr>
          </w:p>
        </w:tc>
        <w:tc>
          <w:tcPr>
            <w:tcW w:w="2840" w:type="dxa"/>
            <w:vAlign w:val="center"/>
          </w:tcPr>
          <w:p>
            <w:pPr>
              <w:pStyle w:val="5"/>
              <w:widowControl w:val="0"/>
              <w:overflowPunct w:val="0"/>
              <w:spacing w:before="0" w:after="0" w:line="240" w:lineRule="auto"/>
              <w:jc w:val="center"/>
              <w:outlineLvl w:val="3"/>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5"/>
              <w:widowControl w:val="0"/>
              <w:overflowPunct w:val="0"/>
              <w:spacing w:before="0" w:after="0" w:line="240" w:lineRule="auto"/>
              <w:jc w:val="center"/>
              <w:outlineLvl w:val="3"/>
              <w:rPr>
                <w:rFonts w:ascii="宋体" w:hAnsi="宋体" w:eastAsia="宋体" w:cs="Times New Roman"/>
                <w:color w:val="auto"/>
                <w:sz w:val="21"/>
                <w:szCs w:val="21"/>
                <w:highlight w:val="none"/>
              </w:rPr>
            </w:pPr>
          </w:p>
        </w:tc>
        <w:tc>
          <w:tcPr>
            <w:tcW w:w="2842" w:type="dxa"/>
            <w:vAlign w:val="center"/>
          </w:tcPr>
          <w:p>
            <w:pPr>
              <w:pStyle w:val="5"/>
              <w:widowControl w:val="0"/>
              <w:overflowPunct w:val="0"/>
              <w:spacing w:before="0" w:after="0" w:line="240" w:lineRule="auto"/>
              <w:jc w:val="center"/>
              <w:outlineLvl w:val="3"/>
              <w:rPr>
                <w:rFonts w:ascii="宋体" w:hAnsi="宋体" w:eastAsia="宋体" w:cs="Times New Roman"/>
                <w:color w:val="auto"/>
                <w:sz w:val="21"/>
                <w:szCs w:val="21"/>
                <w:highlight w:val="none"/>
              </w:rPr>
            </w:pPr>
          </w:p>
        </w:tc>
        <w:tc>
          <w:tcPr>
            <w:tcW w:w="2840" w:type="dxa"/>
            <w:vAlign w:val="center"/>
          </w:tcPr>
          <w:p>
            <w:pPr>
              <w:pStyle w:val="5"/>
              <w:widowControl w:val="0"/>
              <w:overflowPunct w:val="0"/>
              <w:spacing w:before="0" w:after="0" w:line="240" w:lineRule="auto"/>
              <w:jc w:val="center"/>
              <w:outlineLvl w:val="3"/>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5"/>
              <w:widowControl w:val="0"/>
              <w:overflowPunct w:val="0"/>
              <w:spacing w:before="0" w:after="0" w:line="240" w:lineRule="auto"/>
              <w:jc w:val="center"/>
              <w:outlineLvl w:val="3"/>
              <w:rPr>
                <w:rFonts w:ascii="宋体" w:hAnsi="宋体" w:eastAsia="宋体" w:cs="Times New Roman"/>
                <w:color w:val="auto"/>
                <w:sz w:val="21"/>
                <w:szCs w:val="21"/>
                <w:highlight w:val="none"/>
              </w:rPr>
            </w:pPr>
          </w:p>
        </w:tc>
        <w:tc>
          <w:tcPr>
            <w:tcW w:w="2842" w:type="dxa"/>
            <w:vAlign w:val="center"/>
          </w:tcPr>
          <w:p>
            <w:pPr>
              <w:pStyle w:val="5"/>
              <w:widowControl w:val="0"/>
              <w:overflowPunct w:val="0"/>
              <w:spacing w:before="0" w:after="0" w:line="240" w:lineRule="auto"/>
              <w:jc w:val="center"/>
              <w:outlineLvl w:val="3"/>
              <w:rPr>
                <w:rFonts w:ascii="宋体" w:hAnsi="宋体" w:eastAsia="宋体" w:cs="Times New Roman"/>
                <w:color w:val="auto"/>
                <w:sz w:val="21"/>
                <w:szCs w:val="21"/>
                <w:highlight w:val="none"/>
              </w:rPr>
            </w:pPr>
          </w:p>
        </w:tc>
        <w:tc>
          <w:tcPr>
            <w:tcW w:w="2840" w:type="dxa"/>
            <w:vAlign w:val="center"/>
          </w:tcPr>
          <w:p>
            <w:pPr>
              <w:pStyle w:val="5"/>
              <w:widowControl w:val="0"/>
              <w:overflowPunct w:val="0"/>
              <w:spacing w:before="0" w:after="0" w:line="240" w:lineRule="auto"/>
              <w:jc w:val="center"/>
              <w:outlineLvl w:val="3"/>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5"/>
              <w:widowControl w:val="0"/>
              <w:overflowPunct w:val="0"/>
              <w:spacing w:before="0" w:after="0" w:line="240" w:lineRule="auto"/>
              <w:jc w:val="center"/>
              <w:outlineLvl w:val="3"/>
              <w:rPr>
                <w:rFonts w:ascii="宋体" w:hAnsi="宋体" w:eastAsia="宋体" w:cs="Times New Roman"/>
                <w:color w:val="auto"/>
                <w:sz w:val="21"/>
                <w:szCs w:val="21"/>
                <w:highlight w:val="none"/>
              </w:rPr>
            </w:pPr>
          </w:p>
        </w:tc>
        <w:tc>
          <w:tcPr>
            <w:tcW w:w="2842" w:type="dxa"/>
            <w:vAlign w:val="center"/>
          </w:tcPr>
          <w:p>
            <w:pPr>
              <w:pStyle w:val="5"/>
              <w:widowControl w:val="0"/>
              <w:overflowPunct w:val="0"/>
              <w:spacing w:before="0" w:after="0" w:line="240" w:lineRule="auto"/>
              <w:jc w:val="center"/>
              <w:outlineLvl w:val="3"/>
              <w:rPr>
                <w:rFonts w:ascii="宋体" w:hAnsi="宋体" w:eastAsia="宋体" w:cs="Times New Roman"/>
                <w:color w:val="auto"/>
                <w:sz w:val="21"/>
                <w:szCs w:val="21"/>
                <w:highlight w:val="none"/>
              </w:rPr>
            </w:pPr>
          </w:p>
        </w:tc>
        <w:tc>
          <w:tcPr>
            <w:tcW w:w="2840" w:type="dxa"/>
            <w:vAlign w:val="center"/>
          </w:tcPr>
          <w:p>
            <w:pPr>
              <w:pStyle w:val="5"/>
              <w:widowControl w:val="0"/>
              <w:overflowPunct w:val="0"/>
              <w:spacing w:before="0" w:after="0" w:line="240" w:lineRule="auto"/>
              <w:jc w:val="center"/>
              <w:outlineLvl w:val="3"/>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5"/>
              <w:widowControl w:val="0"/>
              <w:overflowPunct w:val="0"/>
              <w:spacing w:before="0" w:after="0" w:line="240" w:lineRule="auto"/>
              <w:jc w:val="center"/>
              <w:outlineLvl w:val="3"/>
              <w:rPr>
                <w:rFonts w:ascii="宋体" w:hAnsi="宋体" w:eastAsia="宋体" w:cs="Times New Roman"/>
                <w:color w:val="auto"/>
                <w:sz w:val="21"/>
                <w:szCs w:val="21"/>
                <w:highlight w:val="none"/>
              </w:rPr>
            </w:pPr>
          </w:p>
        </w:tc>
        <w:tc>
          <w:tcPr>
            <w:tcW w:w="2842" w:type="dxa"/>
            <w:vAlign w:val="center"/>
          </w:tcPr>
          <w:p>
            <w:pPr>
              <w:pStyle w:val="5"/>
              <w:widowControl w:val="0"/>
              <w:overflowPunct w:val="0"/>
              <w:spacing w:before="0" w:after="0" w:line="240" w:lineRule="auto"/>
              <w:jc w:val="center"/>
              <w:outlineLvl w:val="3"/>
              <w:rPr>
                <w:rFonts w:ascii="宋体" w:hAnsi="宋体" w:eastAsia="宋体" w:cs="Times New Roman"/>
                <w:color w:val="auto"/>
                <w:sz w:val="21"/>
                <w:szCs w:val="21"/>
                <w:highlight w:val="none"/>
              </w:rPr>
            </w:pPr>
          </w:p>
        </w:tc>
        <w:tc>
          <w:tcPr>
            <w:tcW w:w="2840" w:type="dxa"/>
            <w:vAlign w:val="center"/>
          </w:tcPr>
          <w:p>
            <w:pPr>
              <w:pStyle w:val="5"/>
              <w:widowControl w:val="0"/>
              <w:overflowPunct w:val="0"/>
              <w:spacing w:before="0" w:after="0" w:line="240" w:lineRule="auto"/>
              <w:jc w:val="center"/>
              <w:outlineLvl w:val="3"/>
              <w:rPr>
                <w:rFonts w:ascii="宋体" w:hAnsi="宋体" w:eastAsia="宋体" w:cs="Times New Roman"/>
                <w:color w:val="auto"/>
                <w:sz w:val="21"/>
                <w:szCs w:val="21"/>
                <w:highlight w:val="none"/>
              </w:rPr>
            </w:pPr>
          </w:p>
        </w:tc>
      </w:tr>
    </w:tbl>
    <w:p>
      <w:pPr>
        <w:pStyle w:val="26"/>
        <w:spacing w:after="0" w:line="360" w:lineRule="auto"/>
        <w:rPr>
          <w:rFonts w:ascii="宋体" w:hAnsi="宋体" w:eastAsia="宋体"/>
          <w:color w:val="auto"/>
          <w:sz w:val="21"/>
          <w:szCs w:val="21"/>
          <w:highlight w:val="none"/>
        </w:rPr>
      </w:pPr>
    </w:p>
    <w:p>
      <w:pPr>
        <w:pStyle w:val="26"/>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pStyle w:val="26"/>
        <w:numPr>
          <w:ilvl w:val="0"/>
          <w:numId w:val="10"/>
        </w:num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该表格为参考格式，投标人可按实际情况自行制订。</w:t>
      </w:r>
    </w:p>
    <w:p>
      <w:pPr>
        <w:pStyle w:val="26"/>
        <w:numPr>
          <w:ilvl w:val="0"/>
          <w:numId w:val="10"/>
        </w:numPr>
        <w:spacing w:after="0" w:line="360" w:lineRule="auto"/>
        <w:rPr>
          <w:rFonts w:hint="eastAsia" w:ascii="宋体" w:hAnsi="宋体" w:eastAsia="宋体"/>
          <w:b/>
          <w:bCs/>
          <w:color w:val="auto"/>
          <w:sz w:val="21"/>
          <w:szCs w:val="21"/>
          <w:highlight w:val="none"/>
          <w:lang w:eastAsia="zh-CN"/>
        </w:rPr>
      </w:pPr>
      <w:r>
        <w:rPr>
          <w:rFonts w:hint="eastAsia" w:ascii="宋体" w:hAnsi="宋体" w:eastAsia="宋体"/>
          <w:b/>
          <w:bCs/>
          <w:color w:val="auto"/>
          <w:sz w:val="21"/>
          <w:szCs w:val="21"/>
          <w:highlight w:val="none"/>
        </w:rPr>
        <w:t>投标人可按项目的实际需要提供本表格。</w:t>
      </w:r>
      <w:r>
        <w:rPr>
          <w:rFonts w:hint="eastAsia" w:ascii="宋体" w:hAnsi="宋体" w:eastAsia="宋体"/>
          <w:b/>
          <w:bCs/>
          <w:color w:val="auto"/>
          <w:sz w:val="21"/>
          <w:szCs w:val="21"/>
          <w:highlight w:val="none"/>
          <w:lang w:eastAsia="zh-CN"/>
        </w:rPr>
        <w:t>招标文件内未涉及▲参数的，此表可以不用提供。</w:t>
      </w:r>
    </w:p>
    <w:p>
      <w:pPr>
        <w:pStyle w:val="26"/>
        <w:numPr>
          <w:ilvl w:val="0"/>
          <w:numId w:val="10"/>
        </w:num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响应表所列出的材料应为真实准确的，若文件需要，应提供相关证明材料复印件加盖公章。请勿提供虚假、过期材料，否则将依据相关规定严肃处理</w:t>
      </w:r>
    </w:p>
    <w:p>
      <w:pPr>
        <w:pStyle w:val="26"/>
        <w:numPr>
          <w:ilvl w:val="0"/>
          <w:numId w:val="10"/>
        </w:num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若招标文件有需求，投标文件未提供重要技术参数（</w:t>
      </w:r>
      <w:r>
        <w:rPr>
          <w:rFonts w:hint="eastAsia" w:ascii="宋体" w:hAnsi="宋体" w:eastAsia="宋体" w:cs="Times New Roman"/>
          <w:color w:val="auto"/>
          <w:sz w:val="21"/>
          <w:szCs w:val="21"/>
          <w:highlight w:val="none"/>
        </w:rPr>
        <w:t>▲</w:t>
      </w:r>
      <w:r>
        <w:rPr>
          <w:rFonts w:hint="eastAsia" w:ascii="宋体" w:hAnsi="宋体" w:eastAsia="宋体"/>
          <w:color w:val="auto"/>
          <w:sz w:val="21"/>
          <w:szCs w:val="21"/>
          <w:highlight w:val="none"/>
        </w:rPr>
        <w:t>）响应表对投标人投标产生负面影响的，投标人自行承担后果。</w:t>
      </w:r>
    </w:p>
    <w:p>
      <w:pPr>
        <w:pStyle w:val="26"/>
        <w:numPr>
          <w:ilvl w:val="0"/>
          <w:numId w:val="10"/>
        </w:num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5"/>
        <w:widowControl w:val="0"/>
        <w:overflowPunct w:val="0"/>
        <w:spacing w:before="0" w:after="0" w:line="240" w:lineRule="auto"/>
        <w:rPr>
          <w:rFonts w:ascii="宋体" w:hAnsi="宋体" w:eastAsia="宋体"/>
          <w:color w:val="auto"/>
          <w:sz w:val="30"/>
          <w:szCs w:val="30"/>
          <w:highlight w:val="none"/>
        </w:rPr>
      </w:pPr>
      <w:bookmarkStart w:id="149" w:name="_Toc26041"/>
      <w:r>
        <w:rPr>
          <w:rFonts w:hint="eastAsia" w:ascii="宋体" w:hAnsi="宋体" w:eastAsia="宋体"/>
          <w:color w:val="auto"/>
          <w:sz w:val="21"/>
          <w:szCs w:val="21"/>
          <w:highlight w:val="none"/>
        </w:rPr>
        <w:t>附件13.业绩表</w:t>
      </w:r>
      <w:bookmarkEnd w:id="149"/>
    </w:p>
    <w:p>
      <w:pPr>
        <w:jc w:val="center"/>
        <w:rPr>
          <w:rFonts w:hint="eastAsia" w:ascii="黑体" w:eastAsia="黑体"/>
          <w:color w:val="auto"/>
          <w:sz w:val="28"/>
          <w:szCs w:val="28"/>
          <w:highlight w:val="none"/>
        </w:rPr>
      </w:pPr>
      <w:r>
        <w:rPr>
          <w:rFonts w:hint="eastAsia" w:ascii="黑体" w:eastAsia="黑体"/>
          <w:color w:val="auto"/>
          <w:sz w:val="28"/>
          <w:szCs w:val="28"/>
          <w:highlight w:val="none"/>
        </w:rPr>
        <w:t>业绩表</w:t>
      </w:r>
    </w:p>
    <w:tbl>
      <w:tblPr>
        <w:tblStyle w:val="19"/>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5"/>
        <w:gridCol w:w="1706"/>
        <w:gridCol w:w="1705"/>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pPr>
              <w:adjustRightInd/>
              <w:snapToGrid/>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序号</w:t>
            </w:r>
          </w:p>
        </w:tc>
        <w:tc>
          <w:tcPr>
            <w:tcW w:w="1705"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项目名称</w:t>
            </w:r>
          </w:p>
        </w:tc>
        <w:tc>
          <w:tcPr>
            <w:tcW w:w="1706"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项目金额</w:t>
            </w:r>
          </w:p>
        </w:tc>
        <w:tc>
          <w:tcPr>
            <w:tcW w:w="1705" w:type="dxa"/>
            <w:vAlign w:val="center"/>
          </w:tcPr>
          <w:p>
            <w:pPr>
              <w:adjustRightInd/>
              <w:snapToGrid/>
              <w:spacing w:after="0"/>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项目合同签订时间</w:t>
            </w:r>
          </w:p>
        </w:tc>
        <w:tc>
          <w:tcPr>
            <w:tcW w:w="1697" w:type="dxa"/>
            <w:vAlign w:val="center"/>
          </w:tcPr>
          <w:p>
            <w:pPr>
              <w:adjustRightInd/>
              <w:snapToGrid/>
              <w:spacing w:after="0"/>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pPr>
              <w:adjustRightInd/>
              <w:snapToGrid/>
              <w:spacing w:after="0"/>
              <w:jc w:val="center"/>
              <w:rPr>
                <w:rFonts w:hint="eastAsia" w:ascii="宋体" w:hAnsi="宋体" w:eastAsia="宋体"/>
                <w:color w:val="auto"/>
                <w:sz w:val="21"/>
                <w:szCs w:val="21"/>
                <w:highlight w:val="none"/>
              </w:rPr>
            </w:pPr>
          </w:p>
        </w:tc>
        <w:tc>
          <w:tcPr>
            <w:tcW w:w="1705" w:type="dxa"/>
            <w:vAlign w:val="center"/>
          </w:tcPr>
          <w:p>
            <w:pPr>
              <w:adjustRightInd/>
              <w:snapToGrid/>
              <w:spacing w:after="0"/>
              <w:jc w:val="center"/>
              <w:rPr>
                <w:rFonts w:hint="eastAsia" w:ascii="宋体" w:hAnsi="宋体" w:eastAsia="宋体"/>
                <w:color w:val="auto"/>
                <w:sz w:val="21"/>
                <w:szCs w:val="21"/>
                <w:highlight w:val="none"/>
              </w:rPr>
            </w:pPr>
          </w:p>
        </w:tc>
        <w:tc>
          <w:tcPr>
            <w:tcW w:w="1706" w:type="dxa"/>
            <w:vAlign w:val="center"/>
          </w:tcPr>
          <w:p>
            <w:pPr>
              <w:adjustRightInd/>
              <w:snapToGrid/>
              <w:spacing w:after="0"/>
              <w:jc w:val="center"/>
              <w:rPr>
                <w:rFonts w:hint="eastAsia" w:ascii="宋体" w:hAnsi="宋体" w:eastAsia="宋体"/>
                <w:color w:val="auto"/>
                <w:sz w:val="21"/>
                <w:szCs w:val="21"/>
                <w:highlight w:val="none"/>
              </w:rPr>
            </w:pPr>
          </w:p>
        </w:tc>
        <w:tc>
          <w:tcPr>
            <w:tcW w:w="1705" w:type="dxa"/>
            <w:vAlign w:val="center"/>
          </w:tcPr>
          <w:p>
            <w:pPr>
              <w:adjustRightInd/>
              <w:snapToGrid/>
              <w:spacing w:after="0"/>
              <w:jc w:val="center"/>
              <w:rPr>
                <w:rFonts w:hint="eastAsia" w:ascii="宋体" w:hAnsi="宋体" w:eastAsia="宋体"/>
                <w:color w:val="auto"/>
                <w:sz w:val="21"/>
                <w:szCs w:val="21"/>
                <w:highlight w:val="none"/>
              </w:rPr>
            </w:pPr>
          </w:p>
        </w:tc>
        <w:tc>
          <w:tcPr>
            <w:tcW w:w="1697" w:type="dxa"/>
            <w:vAlign w:val="center"/>
          </w:tcPr>
          <w:p>
            <w:pPr>
              <w:adjustRightInd/>
              <w:snapToGrid/>
              <w:spacing w:after="0"/>
              <w:jc w:val="center"/>
              <w:rPr>
                <w:rFonts w:hint="eastAsia"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697" w:type="dxa"/>
          </w:tcPr>
          <w:p>
            <w:pPr>
              <w:adjustRightInd/>
              <w:snapToGrid/>
              <w:spacing w:after="0"/>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697" w:type="dxa"/>
          </w:tcPr>
          <w:p>
            <w:pPr>
              <w:adjustRightInd/>
              <w:snapToGrid/>
              <w:spacing w:after="0"/>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697" w:type="dxa"/>
          </w:tcPr>
          <w:p>
            <w:pPr>
              <w:adjustRightInd/>
              <w:snapToGrid/>
              <w:spacing w:after="0"/>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697" w:type="dxa"/>
          </w:tcPr>
          <w:p>
            <w:pPr>
              <w:adjustRightInd/>
              <w:snapToGrid/>
              <w:spacing w:after="0"/>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697" w:type="dxa"/>
          </w:tcPr>
          <w:p>
            <w:pPr>
              <w:adjustRightInd/>
              <w:snapToGrid/>
              <w:spacing w:after="0"/>
              <w:rPr>
                <w:rFonts w:ascii="宋体" w:hAnsi="宋体" w:eastAsia="宋体"/>
                <w:color w:val="auto"/>
                <w:sz w:val="21"/>
                <w:szCs w:val="21"/>
                <w:highlight w:val="none"/>
              </w:rPr>
            </w:pPr>
          </w:p>
        </w:tc>
      </w:tr>
    </w:tbl>
    <w:p>
      <w:pPr>
        <w:pStyle w:val="26"/>
        <w:spacing w:after="0"/>
        <w:rPr>
          <w:rFonts w:ascii="宋体" w:hAnsi="宋体" w:eastAsia="宋体"/>
          <w:color w:val="auto"/>
          <w:sz w:val="21"/>
          <w:szCs w:val="21"/>
          <w:highlight w:val="none"/>
        </w:rPr>
      </w:pPr>
    </w:p>
    <w:p>
      <w:pPr>
        <w:pStyle w:val="26"/>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pStyle w:val="26"/>
        <w:keepNext w:val="0"/>
        <w:keepLines w:val="0"/>
        <w:pageBreakBefore w:val="0"/>
        <w:widowControl/>
        <w:numPr>
          <w:ilvl w:val="0"/>
          <w:numId w:val="11"/>
        </w:numPr>
        <w:kinsoku/>
        <w:wordWrap/>
        <w:overflowPunct/>
        <w:topLinePunct w:val="0"/>
        <w:autoSpaceDE/>
        <w:autoSpaceDN/>
        <w:bidi w:val="0"/>
        <w:adjustRightInd w:val="0"/>
        <w:snapToGrid w:val="0"/>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该表格为参考格式，投标人可按实际情况自行制订。</w:t>
      </w:r>
    </w:p>
    <w:p>
      <w:pPr>
        <w:pStyle w:val="26"/>
        <w:keepNext w:val="0"/>
        <w:keepLines w:val="0"/>
        <w:pageBreakBefore w:val="0"/>
        <w:widowControl/>
        <w:numPr>
          <w:ilvl w:val="0"/>
          <w:numId w:val="11"/>
        </w:numPr>
        <w:kinsoku/>
        <w:wordWrap/>
        <w:overflowPunct/>
        <w:topLinePunct w:val="0"/>
        <w:autoSpaceDE/>
        <w:autoSpaceDN/>
        <w:bidi w:val="0"/>
        <w:adjustRightInd w:val="0"/>
        <w:snapToGrid w:val="0"/>
        <w:spacing w:after="0" w:line="360" w:lineRule="auto"/>
        <w:textAlignment w:val="auto"/>
        <w:rPr>
          <w:rFonts w:ascii="宋体" w:hAnsi="宋体" w:eastAsia="宋体"/>
          <w:color w:val="auto"/>
          <w:sz w:val="21"/>
          <w:szCs w:val="21"/>
          <w:highlight w:val="none"/>
        </w:rPr>
      </w:pPr>
      <w:r>
        <w:rPr>
          <w:rFonts w:hint="eastAsia" w:ascii="宋体" w:hAnsi="宋体" w:eastAsia="宋体"/>
          <w:color w:val="auto"/>
          <w:sz w:val="21"/>
          <w:szCs w:val="21"/>
          <w:highlight w:val="none"/>
        </w:rPr>
        <w:t>业绩表所列出的材料应为真实准确的，并应提供相关证明材料复印件加盖公章。请勿提供虚假、过期材料，否则将依据相关规定严肃处理。</w:t>
      </w:r>
    </w:p>
    <w:p>
      <w:pPr>
        <w:pStyle w:val="26"/>
        <w:numPr>
          <w:ilvl w:val="0"/>
          <w:numId w:val="11"/>
        </w:num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150" w:name="_Toc11366"/>
      <w:r>
        <w:rPr>
          <w:rFonts w:hint="eastAsia" w:ascii="宋体" w:hAnsi="宋体" w:eastAsia="宋体"/>
          <w:color w:val="auto"/>
          <w:sz w:val="21"/>
          <w:szCs w:val="21"/>
          <w:highlight w:val="none"/>
        </w:rPr>
        <w:t>附件14. 项目实施方案格式</w:t>
      </w:r>
      <w:bookmarkEnd w:id="150"/>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项目实施方案</w:t>
      </w:r>
    </w:p>
    <w:p>
      <w:pPr>
        <w:jc w:val="center"/>
        <w:rPr>
          <w:rFonts w:ascii="黑体" w:eastAsia="黑体"/>
          <w:color w:val="auto"/>
          <w:sz w:val="32"/>
          <w:szCs w:val="32"/>
          <w:highlight w:val="none"/>
        </w:rPr>
      </w:pPr>
    </w:p>
    <w:p>
      <w:pPr>
        <w:spacing w:after="0" w:line="360" w:lineRule="auto"/>
        <w:ind w:left="73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1、为完成本项目投标人临时投入的设备</w:t>
      </w:r>
    </w:p>
    <w:p>
      <w:pPr>
        <w:spacing w:after="0" w:line="360" w:lineRule="auto"/>
        <w:ind w:left="73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2、为完成本项目投标人投入的人员以及具体工作安排</w:t>
      </w:r>
    </w:p>
    <w:p>
      <w:pPr>
        <w:spacing w:after="0" w:line="360" w:lineRule="auto"/>
        <w:ind w:left="73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3、投标人为本项目制定的具体项目实施方案与项目实施流程</w:t>
      </w:r>
    </w:p>
    <w:p>
      <w:pPr>
        <w:spacing w:after="0" w:line="360" w:lineRule="auto"/>
        <w:ind w:left="73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4、售后服务方案</w:t>
      </w:r>
    </w:p>
    <w:p>
      <w:pPr>
        <w:spacing w:after="0" w:line="360" w:lineRule="auto"/>
        <w:ind w:left="73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5、..........</w:t>
      </w:r>
    </w:p>
    <w:p>
      <w:pPr>
        <w:spacing w:after="0" w:line="360" w:lineRule="auto"/>
        <w:ind w:left="738" w:leftChars="200" w:hanging="298" w:hangingChars="142"/>
        <w:rPr>
          <w:rFonts w:ascii="宋体" w:hAnsi="宋体" w:eastAsia="宋体" w:cs="Times New Roman"/>
          <w:color w:val="auto"/>
          <w:sz w:val="21"/>
          <w:szCs w:val="21"/>
          <w:highlight w:val="none"/>
        </w:rPr>
      </w:pPr>
      <w:r>
        <w:rPr>
          <w:rFonts w:hint="eastAsia" w:ascii="宋体" w:hAnsi="宋体" w:eastAsia="宋体"/>
          <w:color w:val="auto"/>
          <w:sz w:val="21"/>
          <w:szCs w:val="21"/>
          <w:highlight w:val="none"/>
        </w:rPr>
        <w:t>自行编写。</w:t>
      </w:r>
    </w:p>
    <w:p>
      <w:pPr>
        <w:spacing w:after="0" w:line="360" w:lineRule="auto"/>
        <w:ind w:left="738" w:leftChars="200" w:hanging="298" w:hangingChars="142"/>
        <w:rPr>
          <w:rFonts w:ascii="宋体" w:hAnsi="宋体" w:eastAsia="宋体"/>
          <w:color w:val="auto"/>
          <w:sz w:val="21"/>
          <w:szCs w:val="21"/>
          <w:highlight w:val="none"/>
        </w:rPr>
      </w:pPr>
    </w:p>
    <w:p>
      <w:pPr>
        <w:spacing w:after="0" w:line="360" w:lineRule="auto"/>
        <w:ind w:left="738" w:leftChars="200" w:hanging="298" w:hangingChars="142"/>
        <w:rPr>
          <w:rFonts w:ascii="宋体" w:hAnsi="宋体" w:eastAsia="宋体"/>
          <w:color w:val="auto"/>
          <w:sz w:val="21"/>
          <w:szCs w:val="21"/>
          <w:highlight w:val="none"/>
        </w:rPr>
      </w:pPr>
    </w:p>
    <w:p>
      <w:pPr>
        <w:spacing w:after="0" w:line="360" w:lineRule="auto"/>
        <w:ind w:left="73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151" w:name="_Toc9262"/>
      <w:r>
        <w:rPr>
          <w:rFonts w:hint="eastAsia" w:ascii="宋体" w:hAnsi="宋体" w:eastAsia="宋体"/>
          <w:color w:val="auto"/>
          <w:sz w:val="21"/>
          <w:szCs w:val="21"/>
          <w:highlight w:val="none"/>
        </w:rPr>
        <w:t>附件15. 实施本项目的有关人员资料表格式</w:t>
      </w:r>
      <w:bookmarkEnd w:id="151"/>
    </w:p>
    <w:p>
      <w:pPr>
        <w:jc w:val="center"/>
        <w:rPr>
          <w:rFonts w:ascii="宋体" w:hAnsi="宋体" w:eastAsia="宋体"/>
          <w:color w:val="auto"/>
          <w:sz w:val="21"/>
          <w:szCs w:val="21"/>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实施本项目的有关人员资料表</w:t>
      </w:r>
    </w:p>
    <w:tbl>
      <w:tblPr>
        <w:tblStyle w:val="18"/>
        <w:tblW w:w="7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822"/>
        <w:gridCol w:w="1392"/>
        <w:gridCol w:w="763"/>
        <w:gridCol w:w="708"/>
        <w:gridCol w:w="851"/>
        <w:gridCol w:w="850"/>
        <w:gridCol w:w="788"/>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822" w:type="dxa"/>
            <w:vAlign w:val="center"/>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姓名</w:t>
            </w:r>
          </w:p>
        </w:tc>
        <w:tc>
          <w:tcPr>
            <w:tcW w:w="1392" w:type="dxa"/>
            <w:vAlign w:val="center"/>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本项目拟任岗位</w:t>
            </w:r>
          </w:p>
        </w:tc>
        <w:tc>
          <w:tcPr>
            <w:tcW w:w="763" w:type="dxa"/>
            <w:vAlign w:val="center"/>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性别</w:t>
            </w:r>
          </w:p>
        </w:tc>
        <w:tc>
          <w:tcPr>
            <w:tcW w:w="708" w:type="dxa"/>
            <w:vAlign w:val="center"/>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年龄</w:t>
            </w:r>
          </w:p>
        </w:tc>
        <w:tc>
          <w:tcPr>
            <w:tcW w:w="851" w:type="dxa"/>
            <w:vAlign w:val="center"/>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技术职称</w:t>
            </w:r>
          </w:p>
        </w:tc>
        <w:tc>
          <w:tcPr>
            <w:tcW w:w="850" w:type="dxa"/>
            <w:vAlign w:val="center"/>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专 业</w:t>
            </w:r>
          </w:p>
        </w:tc>
        <w:tc>
          <w:tcPr>
            <w:tcW w:w="788" w:type="dxa"/>
            <w:vAlign w:val="center"/>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资质证书</w:t>
            </w:r>
          </w:p>
        </w:tc>
        <w:tc>
          <w:tcPr>
            <w:tcW w:w="1090" w:type="dxa"/>
            <w:tcBorders>
              <w:right w:val="single" w:color="auto" w:sz="6" w:space="0"/>
            </w:tcBorders>
            <w:vAlign w:val="center"/>
          </w:tcPr>
          <w:p>
            <w:pPr>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bl>
    <w:p>
      <w:pPr>
        <w:ind w:firstLine="178" w:firstLineChars="85"/>
        <w:rPr>
          <w:rFonts w:hint="eastAsia" w:ascii="宋体" w:hAnsi="宋体" w:eastAsia="宋体"/>
          <w:color w:val="auto"/>
          <w:sz w:val="21"/>
          <w:szCs w:val="21"/>
          <w:highlight w:val="none"/>
        </w:rPr>
      </w:pPr>
    </w:p>
    <w:p>
      <w:pPr>
        <w:ind w:firstLine="178" w:firstLineChars="85"/>
        <w:rPr>
          <w:rFonts w:ascii="宋体" w:hAnsi="宋体" w:eastAsia="宋体"/>
          <w:color w:val="auto"/>
          <w:sz w:val="21"/>
          <w:szCs w:val="21"/>
          <w:highlight w:val="none"/>
        </w:rPr>
      </w:pPr>
      <w:r>
        <w:rPr>
          <w:rFonts w:hint="eastAsia" w:ascii="宋体" w:hAnsi="宋体" w:eastAsia="宋体"/>
          <w:color w:val="auto"/>
          <w:sz w:val="21"/>
          <w:szCs w:val="21"/>
          <w:highlight w:val="none"/>
        </w:rPr>
        <w:t>附有关证明文件（复印件加盖公章）</w:t>
      </w:r>
    </w:p>
    <w:p>
      <w:pPr>
        <w:ind w:firstLine="178" w:firstLineChars="85"/>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ind w:firstLine="178" w:firstLineChars="85"/>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pStyle w:val="26"/>
        <w:numPr>
          <w:ilvl w:val="0"/>
          <w:numId w:val="12"/>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投标人可按项目的实际需要提供本表格。</w:t>
      </w:r>
    </w:p>
    <w:p>
      <w:pPr>
        <w:pStyle w:val="26"/>
        <w:numPr>
          <w:ilvl w:val="0"/>
          <w:numId w:val="12"/>
        </w:numPr>
        <w:ind w:firstLineChars="0"/>
        <w:rPr>
          <w:rFonts w:ascii="宋体" w:hAnsi="宋体" w:eastAsia="宋体" w:cs="Times New Roman"/>
          <w:color w:val="auto"/>
          <w:sz w:val="21"/>
          <w:szCs w:val="21"/>
          <w:highlight w:val="none"/>
        </w:rPr>
      </w:pPr>
      <w:r>
        <w:rPr>
          <w:rFonts w:hint="eastAsia" w:ascii="宋体" w:hAnsi="宋体" w:eastAsia="宋体"/>
          <w:color w:val="auto"/>
          <w:sz w:val="21"/>
          <w:szCs w:val="21"/>
          <w:highlight w:val="none"/>
        </w:rPr>
        <w:t>该表格为参考格式，投标人可按实际情况自行制订。</w:t>
      </w:r>
    </w:p>
    <w:p>
      <w:pPr>
        <w:spacing w:after="0" w:line="360" w:lineRule="auto"/>
        <w:rPr>
          <w:rFonts w:ascii="宋体" w:hAnsi="宋体" w:eastAsia="宋体" w:cs="Times New Roman"/>
          <w:color w:val="auto"/>
          <w:sz w:val="21"/>
          <w:szCs w:val="21"/>
          <w:highlight w:val="none"/>
        </w:rPr>
      </w:pPr>
      <w:r>
        <w:rPr>
          <w:rFonts w:hint="eastAsia" w:ascii="宋体" w:hAnsi="宋体" w:eastAsia="宋体"/>
          <w:color w:val="auto"/>
          <w:sz w:val="21"/>
          <w:szCs w:val="21"/>
          <w:highlight w:val="none"/>
          <w:lang w:val="en-US" w:eastAsia="zh-CN"/>
        </w:rPr>
        <w:t>3、投标人若未提供或未填写完整则视为完全响应招标文件的人员要求，因此</w:t>
      </w:r>
      <w:r>
        <w:rPr>
          <w:rFonts w:hint="eastAsia" w:ascii="宋体" w:hAnsi="宋体" w:eastAsia="宋体"/>
          <w:color w:val="auto"/>
          <w:sz w:val="21"/>
          <w:szCs w:val="21"/>
          <w:highlight w:val="none"/>
        </w:rPr>
        <w:t>对投标人投标产生负面影响的，投标人自行承担后果。</w:t>
      </w:r>
    </w:p>
    <w:p>
      <w:pPr>
        <w:pStyle w:val="26"/>
        <w:numPr>
          <w:ilvl w:val="0"/>
          <w:numId w:val="12"/>
        </w:numPr>
        <w:ind w:firstLineChars="0"/>
        <w:rPr>
          <w:rFonts w:ascii="宋体" w:hAnsi="宋体" w:eastAsia="宋体" w:cs="Times New Roman"/>
          <w:color w:val="auto"/>
          <w:sz w:val="21"/>
          <w:szCs w:val="21"/>
          <w:highlight w:val="none"/>
        </w:rPr>
      </w:pPr>
      <w:r>
        <w:rPr>
          <w:rFonts w:hint="eastAsia" w:ascii="宋体" w:hAnsi="宋体" w:eastAsia="宋体"/>
          <w:color w:val="auto"/>
          <w:sz w:val="21"/>
          <w:szCs w:val="21"/>
          <w:highlight w:val="none"/>
        </w:rPr>
        <w:br w:type="page"/>
      </w:r>
    </w:p>
    <w:p>
      <w:pPr>
        <w:pStyle w:val="5"/>
        <w:widowControl w:val="0"/>
        <w:overflowPunct w:val="0"/>
        <w:spacing w:before="0" w:after="0" w:line="240" w:lineRule="auto"/>
        <w:rPr>
          <w:rFonts w:ascii="宋体" w:hAnsi="宋体" w:eastAsia="宋体"/>
          <w:color w:val="auto"/>
          <w:sz w:val="21"/>
          <w:szCs w:val="21"/>
          <w:highlight w:val="none"/>
        </w:rPr>
      </w:pPr>
      <w:bookmarkStart w:id="152" w:name="_Toc30553"/>
      <w:r>
        <w:rPr>
          <w:rFonts w:hint="eastAsia" w:ascii="宋体" w:hAnsi="宋体" w:eastAsia="宋体"/>
          <w:color w:val="auto"/>
          <w:sz w:val="21"/>
          <w:szCs w:val="21"/>
          <w:highlight w:val="none"/>
        </w:rPr>
        <w:t>附件16.投标货物说明一览表格式</w:t>
      </w:r>
      <w:bookmarkEnd w:id="152"/>
    </w:p>
    <w:p>
      <w:pPr>
        <w:jc w:val="center"/>
        <w:rPr>
          <w:rFonts w:ascii="黑体" w:eastAsia="黑体"/>
          <w:color w:val="auto"/>
          <w:sz w:val="28"/>
          <w:szCs w:val="28"/>
          <w:highlight w:val="none"/>
        </w:rPr>
      </w:pPr>
    </w:p>
    <w:p>
      <w:pPr>
        <w:jc w:val="center"/>
        <w:rPr>
          <w:rFonts w:ascii="黑体" w:eastAsia="黑体" w:cs="Times New Roman"/>
          <w:color w:val="auto"/>
          <w:sz w:val="28"/>
          <w:szCs w:val="28"/>
          <w:highlight w:val="none"/>
        </w:rPr>
      </w:pPr>
      <w:r>
        <w:rPr>
          <w:rFonts w:hint="eastAsia" w:ascii="黑体" w:eastAsia="黑体" w:cs="Times New Roman"/>
          <w:color w:val="auto"/>
          <w:sz w:val="28"/>
          <w:szCs w:val="28"/>
          <w:highlight w:val="none"/>
        </w:rPr>
        <w:t>投标货物说明一览表</w:t>
      </w:r>
    </w:p>
    <w:tbl>
      <w:tblPr>
        <w:tblStyle w:val="18"/>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1243"/>
        <w:gridCol w:w="1132"/>
        <w:gridCol w:w="850"/>
        <w:gridCol w:w="850"/>
        <w:gridCol w:w="850"/>
        <w:gridCol w:w="850"/>
        <w:gridCol w:w="1159"/>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90" w:type="pct"/>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序号</w:t>
            </w:r>
          </w:p>
        </w:tc>
        <w:tc>
          <w:tcPr>
            <w:tcW w:w="729" w:type="pct"/>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货物名称</w:t>
            </w:r>
          </w:p>
        </w:tc>
        <w:tc>
          <w:tcPr>
            <w:tcW w:w="664" w:type="pct"/>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规格型号</w:t>
            </w:r>
          </w:p>
        </w:tc>
        <w:tc>
          <w:tcPr>
            <w:tcW w:w="499" w:type="pct"/>
            <w:vAlign w:val="center"/>
          </w:tcPr>
          <w:p>
            <w:pPr>
              <w:spacing w:after="0"/>
              <w:jc w:val="center"/>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eastAsia="zh-CN"/>
              </w:rPr>
              <w:t>品牌</w:t>
            </w:r>
          </w:p>
        </w:tc>
        <w:tc>
          <w:tcPr>
            <w:tcW w:w="499" w:type="pct"/>
            <w:vAlign w:val="center"/>
          </w:tcPr>
          <w:p>
            <w:pPr>
              <w:spacing w:after="0"/>
              <w:jc w:val="center"/>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eastAsia="zh-CN"/>
              </w:rPr>
              <w:t>制造商</w:t>
            </w:r>
          </w:p>
        </w:tc>
        <w:tc>
          <w:tcPr>
            <w:tcW w:w="499" w:type="pct"/>
            <w:vAlign w:val="center"/>
          </w:tcPr>
          <w:p>
            <w:pPr>
              <w:spacing w:after="0"/>
              <w:jc w:val="center"/>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eastAsia="zh-CN"/>
              </w:rPr>
              <w:t>产地</w:t>
            </w:r>
          </w:p>
        </w:tc>
        <w:tc>
          <w:tcPr>
            <w:tcW w:w="499" w:type="pct"/>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数量</w:t>
            </w:r>
          </w:p>
        </w:tc>
        <w:tc>
          <w:tcPr>
            <w:tcW w:w="680" w:type="pct"/>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单价</w:t>
            </w:r>
          </w:p>
        </w:tc>
        <w:tc>
          <w:tcPr>
            <w:tcW w:w="536" w:type="pct"/>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90" w:type="pct"/>
            <w:vAlign w:val="center"/>
          </w:tcPr>
          <w:p>
            <w:pPr>
              <w:spacing w:after="0"/>
              <w:jc w:val="center"/>
              <w:rPr>
                <w:rFonts w:ascii="宋体" w:hAnsi="宋体" w:eastAsia="宋体" w:cs="Times New Roman"/>
                <w:color w:val="auto"/>
                <w:sz w:val="21"/>
                <w:szCs w:val="21"/>
                <w:highlight w:val="none"/>
              </w:rPr>
            </w:pPr>
          </w:p>
        </w:tc>
        <w:tc>
          <w:tcPr>
            <w:tcW w:w="729" w:type="pct"/>
            <w:vAlign w:val="center"/>
          </w:tcPr>
          <w:p>
            <w:pPr>
              <w:spacing w:after="0"/>
              <w:jc w:val="center"/>
              <w:rPr>
                <w:rFonts w:ascii="宋体" w:hAnsi="宋体" w:eastAsia="宋体" w:cs="Times New Roman"/>
                <w:color w:val="auto"/>
                <w:sz w:val="21"/>
                <w:szCs w:val="21"/>
                <w:highlight w:val="none"/>
              </w:rPr>
            </w:pPr>
          </w:p>
        </w:tc>
        <w:tc>
          <w:tcPr>
            <w:tcW w:w="664" w:type="pct"/>
            <w:vAlign w:val="center"/>
          </w:tcPr>
          <w:p>
            <w:pPr>
              <w:spacing w:after="0"/>
              <w:jc w:val="center"/>
              <w:rPr>
                <w:rFonts w:ascii="宋体" w:hAnsi="宋体" w:eastAsia="宋体" w:cs="Times New Roman"/>
                <w:color w:val="auto"/>
                <w:sz w:val="21"/>
                <w:szCs w:val="21"/>
                <w:highlight w:val="none"/>
              </w:rPr>
            </w:pPr>
          </w:p>
        </w:tc>
        <w:tc>
          <w:tcPr>
            <w:tcW w:w="499" w:type="pct"/>
            <w:vAlign w:val="center"/>
          </w:tcPr>
          <w:p>
            <w:pPr>
              <w:spacing w:after="0"/>
              <w:jc w:val="center"/>
              <w:rPr>
                <w:rFonts w:ascii="宋体" w:hAnsi="宋体" w:eastAsia="宋体" w:cs="Times New Roman"/>
                <w:color w:val="auto"/>
                <w:sz w:val="21"/>
                <w:szCs w:val="21"/>
                <w:highlight w:val="none"/>
              </w:rPr>
            </w:pPr>
          </w:p>
        </w:tc>
        <w:tc>
          <w:tcPr>
            <w:tcW w:w="499" w:type="pct"/>
            <w:vAlign w:val="center"/>
          </w:tcPr>
          <w:p>
            <w:pPr>
              <w:spacing w:after="0"/>
              <w:jc w:val="center"/>
              <w:rPr>
                <w:rFonts w:ascii="宋体" w:hAnsi="宋体" w:eastAsia="宋体" w:cs="Times New Roman"/>
                <w:color w:val="auto"/>
                <w:sz w:val="21"/>
                <w:szCs w:val="21"/>
                <w:highlight w:val="none"/>
              </w:rPr>
            </w:pPr>
          </w:p>
        </w:tc>
        <w:tc>
          <w:tcPr>
            <w:tcW w:w="499" w:type="pct"/>
            <w:vAlign w:val="center"/>
          </w:tcPr>
          <w:p>
            <w:pPr>
              <w:spacing w:after="0"/>
              <w:jc w:val="center"/>
              <w:rPr>
                <w:rFonts w:ascii="宋体" w:hAnsi="宋体" w:eastAsia="宋体" w:cs="Times New Roman"/>
                <w:color w:val="auto"/>
                <w:sz w:val="21"/>
                <w:szCs w:val="21"/>
                <w:highlight w:val="none"/>
              </w:rPr>
            </w:pPr>
          </w:p>
        </w:tc>
        <w:tc>
          <w:tcPr>
            <w:tcW w:w="499" w:type="pct"/>
            <w:vAlign w:val="center"/>
          </w:tcPr>
          <w:p>
            <w:pPr>
              <w:spacing w:after="0"/>
              <w:jc w:val="center"/>
              <w:rPr>
                <w:rFonts w:ascii="宋体" w:hAnsi="宋体" w:eastAsia="宋体" w:cs="Times New Roman"/>
                <w:color w:val="auto"/>
                <w:sz w:val="21"/>
                <w:szCs w:val="21"/>
                <w:highlight w:val="none"/>
              </w:rPr>
            </w:pPr>
          </w:p>
        </w:tc>
        <w:tc>
          <w:tcPr>
            <w:tcW w:w="680" w:type="pct"/>
            <w:vAlign w:val="center"/>
          </w:tcPr>
          <w:p>
            <w:pPr>
              <w:spacing w:after="0"/>
              <w:jc w:val="center"/>
              <w:rPr>
                <w:rFonts w:ascii="宋体" w:hAnsi="宋体" w:eastAsia="宋体" w:cs="Times New Roman"/>
                <w:color w:val="auto"/>
                <w:sz w:val="21"/>
                <w:szCs w:val="21"/>
                <w:highlight w:val="none"/>
              </w:rPr>
            </w:pPr>
          </w:p>
        </w:tc>
        <w:tc>
          <w:tcPr>
            <w:tcW w:w="536" w:type="pct"/>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90" w:type="pct"/>
            <w:vAlign w:val="center"/>
          </w:tcPr>
          <w:p>
            <w:pPr>
              <w:spacing w:after="0"/>
              <w:jc w:val="center"/>
              <w:rPr>
                <w:rFonts w:ascii="宋体" w:hAnsi="宋体" w:eastAsia="宋体" w:cs="Times New Roman"/>
                <w:color w:val="auto"/>
                <w:sz w:val="21"/>
                <w:szCs w:val="21"/>
                <w:highlight w:val="none"/>
              </w:rPr>
            </w:pPr>
          </w:p>
        </w:tc>
        <w:tc>
          <w:tcPr>
            <w:tcW w:w="729" w:type="pct"/>
            <w:vAlign w:val="center"/>
          </w:tcPr>
          <w:p>
            <w:pPr>
              <w:spacing w:after="0"/>
              <w:jc w:val="center"/>
              <w:rPr>
                <w:rFonts w:ascii="宋体" w:hAnsi="宋体" w:eastAsia="宋体" w:cs="Times New Roman"/>
                <w:color w:val="auto"/>
                <w:sz w:val="21"/>
                <w:szCs w:val="21"/>
                <w:highlight w:val="none"/>
              </w:rPr>
            </w:pPr>
          </w:p>
        </w:tc>
        <w:tc>
          <w:tcPr>
            <w:tcW w:w="664" w:type="pct"/>
            <w:vAlign w:val="center"/>
          </w:tcPr>
          <w:p>
            <w:pPr>
              <w:spacing w:after="0"/>
              <w:jc w:val="center"/>
              <w:rPr>
                <w:rFonts w:ascii="宋体" w:hAnsi="宋体" w:eastAsia="宋体" w:cs="Times New Roman"/>
                <w:color w:val="auto"/>
                <w:sz w:val="21"/>
                <w:szCs w:val="21"/>
                <w:highlight w:val="none"/>
              </w:rPr>
            </w:pPr>
          </w:p>
        </w:tc>
        <w:tc>
          <w:tcPr>
            <w:tcW w:w="499" w:type="pct"/>
            <w:vAlign w:val="center"/>
          </w:tcPr>
          <w:p>
            <w:pPr>
              <w:spacing w:after="0"/>
              <w:jc w:val="center"/>
              <w:rPr>
                <w:rFonts w:ascii="宋体" w:hAnsi="宋体" w:eastAsia="宋体" w:cs="Times New Roman"/>
                <w:color w:val="auto"/>
                <w:sz w:val="21"/>
                <w:szCs w:val="21"/>
                <w:highlight w:val="none"/>
              </w:rPr>
            </w:pPr>
          </w:p>
        </w:tc>
        <w:tc>
          <w:tcPr>
            <w:tcW w:w="499" w:type="pct"/>
            <w:vAlign w:val="center"/>
          </w:tcPr>
          <w:p>
            <w:pPr>
              <w:spacing w:after="0"/>
              <w:jc w:val="center"/>
              <w:rPr>
                <w:rFonts w:ascii="宋体" w:hAnsi="宋体" w:eastAsia="宋体" w:cs="Times New Roman"/>
                <w:color w:val="auto"/>
                <w:sz w:val="21"/>
                <w:szCs w:val="21"/>
                <w:highlight w:val="none"/>
              </w:rPr>
            </w:pPr>
          </w:p>
        </w:tc>
        <w:tc>
          <w:tcPr>
            <w:tcW w:w="499" w:type="pct"/>
            <w:vAlign w:val="center"/>
          </w:tcPr>
          <w:p>
            <w:pPr>
              <w:spacing w:after="0"/>
              <w:jc w:val="center"/>
              <w:rPr>
                <w:rFonts w:ascii="宋体" w:hAnsi="宋体" w:eastAsia="宋体" w:cs="Times New Roman"/>
                <w:color w:val="auto"/>
                <w:sz w:val="21"/>
                <w:szCs w:val="21"/>
                <w:highlight w:val="none"/>
              </w:rPr>
            </w:pPr>
          </w:p>
        </w:tc>
        <w:tc>
          <w:tcPr>
            <w:tcW w:w="499" w:type="pct"/>
            <w:vAlign w:val="center"/>
          </w:tcPr>
          <w:p>
            <w:pPr>
              <w:spacing w:after="0"/>
              <w:jc w:val="center"/>
              <w:rPr>
                <w:rFonts w:ascii="宋体" w:hAnsi="宋体" w:eastAsia="宋体" w:cs="Times New Roman"/>
                <w:color w:val="auto"/>
                <w:sz w:val="21"/>
                <w:szCs w:val="21"/>
                <w:highlight w:val="none"/>
              </w:rPr>
            </w:pPr>
          </w:p>
        </w:tc>
        <w:tc>
          <w:tcPr>
            <w:tcW w:w="680" w:type="pct"/>
            <w:vAlign w:val="center"/>
          </w:tcPr>
          <w:p>
            <w:pPr>
              <w:spacing w:after="0"/>
              <w:jc w:val="center"/>
              <w:rPr>
                <w:rFonts w:ascii="宋体" w:hAnsi="宋体" w:eastAsia="宋体" w:cs="Times New Roman"/>
                <w:color w:val="auto"/>
                <w:sz w:val="21"/>
                <w:szCs w:val="21"/>
                <w:highlight w:val="none"/>
              </w:rPr>
            </w:pPr>
          </w:p>
        </w:tc>
        <w:tc>
          <w:tcPr>
            <w:tcW w:w="536" w:type="pct"/>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90" w:type="pct"/>
            <w:vAlign w:val="center"/>
          </w:tcPr>
          <w:p>
            <w:pPr>
              <w:spacing w:after="0"/>
              <w:jc w:val="center"/>
              <w:rPr>
                <w:rFonts w:ascii="宋体" w:hAnsi="宋体" w:eastAsia="宋体" w:cs="Times New Roman"/>
                <w:color w:val="auto"/>
                <w:sz w:val="21"/>
                <w:szCs w:val="21"/>
                <w:highlight w:val="none"/>
              </w:rPr>
            </w:pPr>
          </w:p>
        </w:tc>
        <w:tc>
          <w:tcPr>
            <w:tcW w:w="729" w:type="pct"/>
            <w:vAlign w:val="center"/>
          </w:tcPr>
          <w:p>
            <w:pPr>
              <w:spacing w:after="0"/>
              <w:jc w:val="center"/>
              <w:rPr>
                <w:rFonts w:ascii="宋体" w:hAnsi="宋体" w:eastAsia="宋体" w:cs="Times New Roman"/>
                <w:color w:val="auto"/>
                <w:sz w:val="21"/>
                <w:szCs w:val="21"/>
                <w:highlight w:val="none"/>
              </w:rPr>
            </w:pPr>
          </w:p>
        </w:tc>
        <w:tc>
          <w:tcPr>
            <w:tcW w:w="664" w:type="pct"/>
            <w:vAlign w:val="center"/>
          </w:tcPr>
          <w:p>
            <w:pPr>
              <w:spacing w:after="0"/>
              <w:jc w:val="center"/>
              <w:rPr>
                <w:rFonts w:ascii="宋体" w:hAnsi="宋体" w:eastAsia="宋体" w:cs="Times New Roman"/>
                <w:color w:val="auto"/>
                <w:sz w:val="21"/>
                <w:szCs w:val="21"/>
                <w:highlight w:val="none"/>
              </w:rPr>
            </w:pPr>
          </w:p>
        </w:tc>
        <w:tc>
          <w:tcPr>
            <w:tcW w:w="499" w:type="pct"/>
            <w:vAlign w:val="center"/>
          </w:tcPr>
          <w:p>
            <w:pPr>
              <w:spacing w:after="0"/>
              <w:jc w:val="center"/>
              <w:rPr>
                <w:rFonts w:ascii="宋体" w:hAnsi="宋体" w:eastAsia="宋体" w:cs="Times New Roman"/>
                <w:color w:val="auto"/>
                <w:sz w:val="21"/>
                <w:szCs w:val="21"/>
                <w:highlight w:val="none"/>
              </w:rPr>
            </w:pPr>
          </w:p>
        </w:tc>
        <w:tc>
          <w:tcPr>
            <w:tcW w:w="499" w:type="pct"/>
            <w:vAlign w:val="center"/>
          </w:tcPr>
          <w:p>
            <w:pPr>
              <w:spacing w:after="0"/>
              <w:jc w:val="center"/>
              <w:rPr>
                <w:rFonts w:ascii="宋体" w:hAnsi="宋体" w:eastAsia="宋体" w:cs="Times New Roman"/>
                <w:color w:val="auto"/>
                <w:sz w:val="21"/>
                <w:szCs w:val="21"/>
                <w:highlight w:val="none"/>
              </w:rPr>
            </w:pPr>
          </w:p>
        </w:tc>
        <w:tc>
          <w:tcPr>
            <w:tcW w:w="499" w:type="pct"/>
            <w:vAlign w:val="center"/>
          </w:tcPr>
          <w:p>
            <w:pPr>
              <w:spacing w:after="0"/>
              <w:jc w:val="center"/>
              <w:rPr>
                <w:rFonts w:ascii="宋体" w:hAnsi="宋体" w:eastAsia="宋体" w:cs="Times New Roman"/>
                <w:color w:val="auto"/>
                <w:sz w:val="21"/>
                <w:szCs w:val="21"/>
                <w:highlight w:val="none"/>
              </w:rPr>
            </w:pPr>
          </w:p>
        </w:tc>
        <w:tc>
          <w:tcPr>
            <w:tcW w:w="499" w:type="pct"/>
            <w:vAlign w:val="center"/>
          </w:tcPr>
          <w:p>
            <w:pPr>
              <w:spacing w:after="0"/>
              <w:jc w:val="center"/>
              <w:rPr>
                <w:rFonts w:ascii="宋体" w:hAnsi="宋体" w:eastAsia="宋体" w:cs="Times New Roman"/>
                <w:color w:val="auto"/>
                <w:sz w:val="21"/>
                <w:szCs w:val="21"/>
                <w:highlight w:val="none"/>
              </w:rPr>
            </w:pPr>
          </w:p>
        </w:tc>
        <w:tc>
          <w:tcPr>
            <w:tcW w:w="680" w:type="pct"/>
            <w:vAlign w:val="center"/>
          </w:tcPr>
          <w:p>
            <w:pPr>
              <w:spacing w:after="0"/>
              <w:jc w:val="center"/>
              <w:rPr>
                <w:rFonts w:ascii="宋体" w:hAnsi="宋体" w:eastAsia="宋体" w:cs="Times New Roman"/>
                <w:color w:val="auto"/>
                <w:sz w:val="21"/>
                <w:szCs w:val="21"/>
                <w:highlight w:val="none"/>
              </w:rPr>
            </w:pPr>
          </w:p>
        </w:tc>
        <w:tc>
          <w:tcPr>
            <w:tcW w:w="536" w:type="pct"/>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90" w:type="pct"/>
            <w:vAlign w:val="center"/>
          </w:tcPr>
          <w:p>
            <w:pPr>
              <w:spacing w:after="0"/>
              <w:jc w:val="center"/>
              <w:rPr>
                <w:rFonts w:ascii="宋体" w:hAnsi="宋体" w:eastAsia="宋体" w:cs="Times New Roman"/>
                <w:color w:val="auto"/>
                <w:sz w:val="21"/>
                <w:szCs w:val="21"/>
                <w:highlight w:val="none"/>
              </w:rPr>
            </w:pPr>
          </w:p>
        </w:tc>
        <w:tc>
          <w:tcPr>
            <w:tcW w:w="729" w:type="pct"/>
            <w:vAlign w:val="center"/>
          </w:tcPr>
          <w:p>
            <w:pPr>
              <w:spacing w:after="0"/>
              <w:jc w:val="center"/>
              <w:rPr>
                <w:rFonts w:ascii="宋体" w:hAnsi="宋体" w:eastAsia="宋体" w:cs="Times New Roman"/>
                <w:color w:val="auto"/>
                <w:sz w:val="21"/>
                <w:szCs w:val="21"/>
                <w:highlight w:val="none"/>
              </w:rPr>
            </w:pPr>
          </w:p>
        </w:tc>
        <w:tc>
          <w:tcPr>
            <w:tcW w:w="664" w:type="pct"/>
            <w:vAlign w:val="center"/>
          </w:tcPr>
          <w:p>
            <w:pPr>
              <w:spacing w:after="0"/>
              <w:jc w:val="center"/>
              <w:rPr>
                <w:rFonts w:ascii="宋体" w:hAnsi="宋体" w:eastAsia="宋体" w:cs="Times New Roman"/>
                <w:color w:val="auto"/>
                <w:sz w:val="21"/>
                <w:szCs w:val="21"/>
                <w:highlight w:val="none"/>
              </w:rPr>
            </w:pPr>
          </w:p>
        </w:tc>
        <w:tc>
          <w:tcPr>
            <w:tcW w:w="499" w:type="pct"/>
            <w:vAlign w:val="center"/>
          </w:tcPr>
          <w:p>
            <w:pPr>
              <w:spacing w:after="0"/>
              <w:jc w:val="center"/>
              <w:rPr>
                <w:rFonts w:ascii="宋体" w:hAnsi="宋体" w:eastAsia="宋体" w:cs="Times New Roman"/>
                <w:color w:val="auto"/>
                <w:sz w:val="21"/>
                <w:szCs w:val="21"/>
                <w:highlight w:val="none"/>
              </w:rPr>
            </w:pPr>
          </w:p>
        </w:tc>
        <w:tc>
          <w:tcPr>
            <w:tcW w:w="499" w:type="pct"/>
            <w:vAlign w:val="center"/>
          </w:tcPr>
          <w:p>
            <w:pPr>
              <w:spacing w:after="0"/>
              <w:jc w:val="center"/>
              <w:rPr>
                <w:rFonts w:ascii="宋体" w:hAnsi="宋体" w:eastAsia="宋体" w:cs="Times New Roman"/>
                <w:color w:val="auto"/>
                <w:sz w:val="21"/>
                <w:szCs w:val="21"/>
                <w:highlight w:val="none"/>
              </w:rPr>
            </w:pPr>
          </w:p>
        </w:tc>
        <w:tc>
          <w:tcPr>
            <w:tcW w:w="499" w:type="pct"/>
            <w:vAlign w:val="center"/>
          </w:tcPr>
          <w:p>
            <w:pPr>
              <w:spacing w:after="0"/>
              <w:jc w:val="center"/>
              <w:rPr>
                <w:rFonts w:ascii="宋体" w:hAnsi="宋体" w:eastAsia="宋体" w:cs="Times New Roman"/>
                <w:color w:val="auto"/>
                <w:sz w:val="21"/>
                <w:szCs w:val="21"/>
                <w:highlight w:val="none"/>
              </w:rPr>
            </w:pPr>
          </w:p>
        </w:tc>
        <w:tc>
          <w:tcPr>
            <w:tcW w:w="499" w:type="pct"/>
            <w:vAlign w:val="center"/>
          </w:tcPr>
          <w:p>
            <w:pPr>
              <w:spacing w:after="0"/>
              <w:jc w:val="center"/>
              <w:rPr>
                <w:rFonts w:ascii="宋体" w:hAnsi="宋体" w:eastAsia="宋体" w:cs="Times New Roman"/>
                <w:color w:val="auto"/>
                <w:sz w:val="21"/>
                <w:szCs w:val="21"/>
                <w:highlight w:val="none"/>
              </w:rPr>
            </w:pPr>
          </w:p>
        </w:tc>
        <w:tc>
          <w:tcPr>
            <w:tcW w:w="680" w:type="pct"/>
            <w:vAlign w:val="center"/>
          </w:tcPr>
          <w:p>
            <w:pPr>
              <w:spacing w:after="0"/>
              <w:jc w:val="center"/>
              <w:rPr>
                <w:rFonts w:ascii="宋体" w:hAnsi="宋体" w:eastAsia="宋体" w:cs="Times New Roman"/>
                <w:color w:val="auto"/>
                <w:sz w:val="21"/>
                <w:szCs w:val="21"/>
                <w:highlight w:val="none"/>
              </w:rPr>
            </w:pPr>
          </w:p>
        </w:tc>
        <w:tc>
          <w:tcPr>
            <w:tcW w:w="536" w:type="pct"/>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90" w:type="pct"/>
            <w:vAlign w:val="center"/>
          </w:tcPr>
          <w:p>
            <w:pPr>
              <w:spacing w:after="0"/>
              <w:jc w:val="center"/>
              <w:rPr>
                <w:rFonts w:ascii="宋体" w:hAnsi="宋体" w:eastAsia="宋体" w:cs="Times New Roman"/>
                <w:color w:val="auto"/>
                <w:sz w:val="21"/>
                <w:szCs w:val="21"/>
                <w:highlight w:val="none"/>
              </w:rPr>
            </w:pPr>
          </w:p>
        </w:tc>
        <w:tc>
          <w:tcPr>
            <w:tcW w:w="729" w:type="pct"/>
            <w:vAlign w:val="center"/>
          </w:tcPr>
          <w:p>
            <w:pPr>
              <w:spacing w:after="0"/>
              <w:jc w:val="center"/>
              <w:rPr>
                <w:rFonts w:ascii="宋体" w:hAnsi="宋体" w:eastAsia="宋体" w:cs="Times New Roman"/>
                <w:color w:val="auto"/>
                <w:sz w:val="21"/>
                <w:szCs w:val="21"/>
                <w:highlight w:val="none"/>
              </w:rPr>
            </w:pPr>
          </w:p>
        </w:tc>
        <w:tc>
          <w:tcPr>
            <w:tcW w:w="664" w:type="pct"/>
            <w:vAlign w:val="center"/>
          </w:tcPr>
          <w:p>
            <w:pPr>
              <w:spacing w:after="0"/>
              <w:jc w:val="center"/>
              <w:rPr>
                <w:rFonts w:ascii="宋体" w:hAnsi="宋体" w:eastAsia="宋体" w:cs="Times New Roman"/>
                <w:color w:val="auto"/>
                <w:sz w:val="21"/>
                <w:szCs w:val="21"/>
                <w:highlight w:val="none"/>
              </w:rPr>
            </w:pPr>
          </w:p>
        </w:tc>
        <w:tc>
          <w:tcPr>
            <w:tcW w:w="499" w:type="pct"/>
            <w:vAlign w:val="center"/>
          </w:tcPr>
          <w:p>
            <w:pPr>
              <w:spacing w:after="0"/>
              <w:jc w:val="center"/>
              <w:rPr>
                <w:rFonts w:ascii="宋体" w:hAnsi="宋体" w:eastAsia="宋体" w:cs="Times New Roman"/>
                <w:color w:val="auto"/>
                <w:sz w:val="21"/>
                <w:szCs w:val="21"/>
                <w:highlight w:val="none"/>
              </w:rPr>
            </w:pPr>
          </w:p>
        </w:tc>
        <w:tc>
          <w:tcPr>
            <w:tcW w:w="499" w:type="pct"/>
            <w:vAlign w:val="center"/>
          </w:tcPr>
          <w:p>
            <w:pPr>
              <w:spacing w:after="0"/>
              <w:jc w:val="center"/>
              <w:rPr>
                <w:rFonts w:ascii="宋体" w:hAnsi="宋体" w:eastAsia="宋体" w:cs="Times New Roman"/>
                <w:color w:val="auto"/>
                <w:sz w:val="21"/>
                <w:szCs w:val="21"/>
                <w:highlight w:val="none"/>
              </w:rPr>
            </w:pPr>
          </w:p>
        </w:tc>
        <w:tc>
          <w:tcPr>
            <w:tcW w:w="499" w:type="pct"/>
            <w:vAlign w:val="center"/>
          </w:tcPr>
          <w:p>
            <w:pPr>
              <w:spacing w:after="0"/>
              <w:jc w:val="center"/>
              <w:rPr>
                <w:rFonts w:ascii="宋体" w:hAnsi="宋体" w:eastAsia="宋体" w:cs="Times New Roman"/>
                <w:color w:val="auto"/>
                <w:sz w:val="21"/>
                <w:szCs w:val="21"/>
                <w:highlight w:val="none"/>
              </w:rPr>
            </w:pPr>
          </w:p>
        </w:tc>
        <w:tc>
          <w:tcPr>
            <w:tcW w:w="499" w:type="pct"/>
            <w:vAlign w:val="center"/>
          </w:tcPr>
          <w:p>
            <w:pPr>
              <w:spacing w:after="0"/>
              <w:jc w:val="center"/>
              <w:rPr>
                <w:rFonts w:ascii="宋体" w:hAnsi="宋体" w:eastAsia="宋体" w:cs="Times New Roman"/>
                <w:color w:val="auto"/>
                <w:sz w:val="21"/>
                <w:szCs w:val="21"/>
                <w:highlight w:val="none"/>
              </w:rPr>
            </w:pPr>
          </w:p>
        </w:tc>
        <w:tc>
          <w:tcPr>
            <w:tcW w:w="680" w:type="pct"/>
            <w:vAlign w:val="center"/>
          </w:tcPr>
          <w:p>
            <w:pPr>
              <w:spacing w:after="0"/>
              <w:jc w:val="center"/>
              <w:rPr>
                <w:rFonts w:ascii="宋体" w:hAnsi="宋体" w:eastAsia="宋体" w:cs="Times New Roman"/>
                <w:color w:val="auto"/>
                <w:sz w:val="21"/>
                <w:szCs w:val="21"/>
                <w:highlight w:val="none"/>
              </w:rPr>
            </w:pPr>
          </w:p>
        </w:tc>
        <w:tc>
          <w:tcPr>
            <w:tcW w:w="536" w:type="pct"/>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90" w:type="pct"/>
            <w:vAlign w:val="center"/>
          </w:tcPr>
          <w:p>
            <w:pPr>
              <w:spacing w:after="0"/>
              <w:jc w:val="center"/>
              <w:rPr>
                <w:rFonts w:ascii="宋体" w:hAnsi="宋体" w:eastAsia="宋体" w:cs="Times New Roman"/>
                <w:color w:val="auto"/>
                <w:sz w:val="21"/>
                <w:szCs w:val="21"/>
                <w:highlight w:val="none"/>
              </w:rPr>
            </w:pPr>
          </w:p>
        </w:tc>
        <w:tc>
          <w:tcPr>
            <w:tcW w:w="729" w:type="pct"/>
            <w:vAlign w:val="center"/>
          </w:tcPr>
          <w:p>
            <w:pPr>
              <w:spacing w:after="0"/>
              <w:jc w:val="center"/>
              <w:rPr>
                <w:rFonts w:ascii="宋体" w:hAnsi="宋体" w:eastAsia="宋体" w:cs="Times New Roman"/>
                <w:color w:val="auto"/>
                <w:sz w:val="21"/>
                <w:szCs w:val="21"/>
                <w:highlight w:val="none"/>
              </w:rPr>
            </w:pPr>
          </w:p>
        </w:tc>
        <w:tc>
          <w:tcPr>
            <w:tcW w:w="664" w:type="pct"/>
            <w:vAlign w:val="center"/>
          </w:tcPr>
          <w:p>
            <w:pPr>
              <w:spacing w:after="0"/>
              <w:jc w:val="center"/>
              <w:rPr>
                <w:rFonts w:ascii="宋体" w:hAnsi="宋体" w:eastAsia="宋体" w:cs="Times New Roman"/>
                <w:color w:val="auto"/>
                <w:sz w:val="21"/>
                <w:szCs w:val="21"/>
                <w:highlight w:val="none"/>
              </w:rPr>
            </w:pPr>
          </w:p>
        </w:tc>
        <w:tc>
          <w:tcPr>
            <w:tcW w:w="499" w:type="pct"/>
            <w:vAlign w:val="center"/>
          </w:tcPr>
          <w:p>
            <w:pPr>
              <w:spacing w:after="0"/>
              <w:jc w:val="center"/>
              <w:rPr>
                <w:rFonts w:ascii="宋体" w:hAnsi="宋体" w:eastAsia="宋体" w:cs="Times New Roman"/>
                <w:color w:val="auto"/>
                <w:sz w:val="21"/>
                <w:szCs w:val="21"/>
                <w:highlight w:val="none"/>
              </w:rPr>
            </w:pPr>
          </w:p>
        </w:tc>
        <w:tc>
          <w:tcPr>
            <w:tcW w:w="499" w:type="pct"/>
            <w:vAlign w:val="center"/>
          </w:tcPr>
          <w:p>
            <w:pPr>
              <w:spacing w:after="0"/>
              <w:jc w:val="center"/>
              <w:rPr>
                <w:rFonts w:ascii="宋体" w:hAnsi="宋体" w:eastAsia="宋体" w:cs="Times New Roman"/>
                <w:color w:val="auto"/>
                <w:sz w:val="21"/>
                <w:szCs w:val="21"/>
                <w:highlight w:val="none"/>
              </w:rPr>
            </w:pPr>
          </w:p>
        </w:tc>
        <w:tc>
          <w:tcPr>
            <w:tcW w:w="499" w:type="pct"/>
            <w:vAlign w:val="center"/>
          </w:tcPr>
          <w:p>
            <w:pPr>
              <w:spacing w:after="0"/>
              <w:jc w:val="center"/>
              <w:rPr>
                <w:rFonts w:ascii="宋体" w:hAnsi="宋体" w:eastAsia="宋体" w:cs="Times New Roman"/>
                <w:color w:val="auto"/>
                <w:sz w:val="21"/>
                <w:szCs w:val="21"/>
                <w:highlight w:val="none"/>
              </w:rPr>
            </w:pPr>
          </w:p>
        </w:tc>
        <w:tc>
          <w:tcPr>
            <w:tcW w:w="499" w:type="pct"/>
            <w:vAlign w:val="center"/>
          </w:tcPr>
          <w:p>
            <w:pPr>
              <w:spacing w:after="0"/>
              <w:jc w:val="center"/>
              <w:rPr>
                <w:rFonts w:ascii="宋体" w:hAnsi="宋体" w:eastAsia="宋体" w:cs="Times New Roman"/>
                <w:color w:val="auto"/>
                <w:sz w:val="21"/>
                <w:szCs w:val="21"/>
                <w:highlight w:val="none"/>
              </w:rPr>
            </w:pPr>
          </w:p>
        </w:tc>
        <w:tc>
          <w:tcPr>
            <w:tcW w:w="680" w:type="pct"/>
            <w:vAlign w:val="center"/>
          </w:tcPr>
          <w:p>
            <w:pPr>
              <w:spacing w:after="0"/>
              <w:jc w:val="center"/>
              <w:rPr>
                <w:rFonts w:ascii="宋体" w:hAnsi="宋体" w:eastAsia="宋体" w:cs="Times New Roman"/>
                <w:color w:val="auto"/>
                <w:sz w:val="21"/>
                <w:szCs w:val="21"/>
                <w:highlight w:val="none"/>
              </w:rPr>
            </w:pPr>
          </w:p>
        </w:tc>
        <w:tc>
          <w:tcPr>
            <w:tcW w:w="536" w:type="pct"/>
            <w:vAlign w:val="center"/>
          </w:tcPr>
          <w:p>
            <w:pPr>
              <w:spacing w:after="0"/>
              <w:jc w:val="center"/>
              <w:rPr>
                <w:rFonts w:ascii="宋体" w:hAnsi="宋体" w:eastAsia="宋体" w:cs="Times New Roman"/>
                <w:color w:val="auto"/>
                <w:sz w:val="21"/>
                <w:szCs w:val="21"/>
                <w:highlight w:val="none"/>
              </w:rPr>
            </w:pPr>
          </w:p>
        </w:tc>
      </w:tr>
    </w:tbl>
    <w:p>
      <w:pPr>
        <w:spacing w:after="0"/>
        <w:rPr>
          <w:rFonts w:ascii="宋体" w:hAnsi="宋体" w:eastAsia="宋体" w:cs="Times New Roman"/>
          <w:color w:val="auto"/>
          <w:sz w:val="21"/>
          <w:szCs w:val="21"/>
          <w:highlight w:val="none"/>
        </w:rPr>
      </w:pPr>
    </w:p>
    <w:p>
      <w:pP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投标人代表签字：</w:t>
      </w:r>
    </w:p>
    <w:p>
      <w:pP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投标人盖章：</w:t>
      </w:r>
    </w:p>
    <w:p>
      <w:pPr>
        <w:rPr>
          <w:rFonts w:ascii="宋体" w:hAnsi="宋体" w:eastAsia="宋体" w:cs="Times New Roman"/>
          <w:color w:val="auto"/>
          <w:sz w:val="21"/>
          <w:szCs w:val="21"/>
          <w:highlight w:val="none"/>
        </w:rPr>
      </w:pPr>
    </w:p>
    <w:p>
      <w:pP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注：</w:t>
      </w:r>
    </w:p>
    <w:p>
      <w:pPr>
        <w:pStyle w:val="26"/>
        <w:ind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1、投标人可按项目的实际需要提供本表格。</w:t>
      </w:r>
    </w:p>
    <w:p>
      <w:pPr>
        <w:pStyle w:val="26"/>
        <w:ind w:firstLine="0" w:firstLineChars="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2、该表格为参考格式，投标人可按实际情况自行制订。</w:t>
      </w:r>
    </w:p>
    <w:p>
      <w:pPr>
        <w:pStyle w:val="26"/>
        <w:ind w:firstLine="0" w:firstLineChars="0"/>
        <w:rPr>
          <w:rFonts w:ascii="宋体" w:hAnsi="宋体" w:eastAsia="宋体"/>
          <w:color w:val="auto"/>
          <w:sz w:val="21"/>
          <w:szCs w:val="21"/>
          <w:highlight w:val="none"/>
        </w:rPr>
      </w:pPr>
      <w:r>
        <w:rPr>
          <w:rFonts w:hint="eastAsia" w:ascii="宋体" w:hAnsi="宋体" w:eastAsia="宋体"/>
          <w:b/>
          <w:bCs/>
          <w:color w:val="auto"/>
          <w:sz w:val="21"/>
          <w:szCs w:val="21"/>
          <w:highlight w:val="none"/>
          <w:lang w:val="en-US" w:eastAsia="zh-CN"/>
        </w:rPr>
        <w:t>3、如本项目不涉及此表内容，则无需提供此表。</w:t>
      </w:r>
      <w:r>
        <w:rPr>
          <w:rFonts w:hint="eastAsia" w:ascii="宋体" w:hAnsi="宋体" w:eastAsia="宋体"/>
          <w:color w:val="auto"/>
          <w:sz w:val="21"/>
          <w:szCs w:val="21"/>
          <w:highlight w:val="none"/>
        </w:rPr>
        <w:br w:type="page"/>
      </w:r>
    </w:p>
    <w:p>
      <w:pPr>
        <w:pStyle w:val="5"/>
        <w:widowControl w:val="0"/>
        <w:overflowPunct w:val="0"/>
        <w:spacing w:before="0" w:after="0" w:line="240" w:lineRule="auto"/>
        <w:rPr>
          <w:rFonts w:ascii="楷体_GB2312" w:eastAsia="楷体_GB2312"/>
          <w:color w:val="auto"/>
          <w:sz w:val="24"/>
          <w:highlight w:val="none"/>
        </w:rPr>
      </w:pPr>
      <w:bookmarkStart w:id="153" w:name="_Toc13438"/>
      <w:r>
        <w:rPr>
          <w:rFonts w:hint="eastAsia" w:ascii="宋体" w:hAnsi="宋体" w:eastAsia="宋体"/>
          <w:color w:val="auto"/>
          <w:sz w:val="21"/>
          <w:szCs w:val="21"/>
          <w:highlight w:val="none"/>
        </w:rPr>
        <w:t>附件17.在经营活动中没有重大违法记录的书面声明格式</w:t>
      </w:r>
      <w:bookmarkEnd w:id="153"/>
    </w:p>
    <w:p>
      <w:pP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投标人在</w:t>
      </w:r>
      <w:r>
        <w:rPr>
          <w:rFonts w:hint="eastAsia" w:ascii="黑体" w:eastAsia="黑体"/>
          <w:color w:val="auto"/>
          <w:sz w:val="28"/>
          <w:szCs w:val="28"/>
          <w:highlight w:val="none"/>
          <w:lang w:eastAsia="zh-CN"/>
        </w:rPr>
        <w:t>经营活动中前三年内</w:t>
      </w:r>
      <w:r>
        <w:rPr>
          <w:rFonts w:hint="eastAsia" w:ascii="黑体" w:eastAsia="黑体"/>
          <w:color w:val="auto"/>
          <w:sz w:val="28"/>
          <w:szCs w:val="28"/>
          <w:highlight w:val="none"/>
        </w:rPr>
        <w:t>未有重大违法记录、没有不良信用记录的声明函</w:t>
      </w:r>
    </w:p>
    <w:p>
      <w:pPr>
        <w:spacing w:after="0" w:line="360" w:lineRule="auto"/>
        <w:ind w:firstLine="420" w:firstLineChars="200"/>
        <w:rPr>
          <w:rFonts w:ascii="宋体" w:hAnsi="宋体" w:eastAsia="宋体" w:cs="宋体"/>
          <w:color w:val="auto"/>
          <w:sz w:val="21"/>
          <w:szCs w:val="21"/>
          <w:highlight w:val="none"/>
        </w:rPr>
      </w:pP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三方诚信招标有限公司</w:t>
      </w:r>
      <w:r>
        <w:rPr>
          <w:rFonts w:hint="eastAsia" w:ascii="宋体" w:hAnsi="宋体" w:eastAsia="宋体" w:cs="宋体"/>
          <w:color w:val="auto"/>
          <w:sz w:val="21"/>
          <w:szCs w:val="21"/>
          <w:highlight w:val="none"/>
        </w:rPr>
        <w:t>东莞分公司：</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我公司郑重承诺：在参加“</w:t>
      </w:r>
      <w:r>
        <w:rPr>
          <w:rFonts w:hint="eastAsia" w:ascii="宋体" w:hAnsi="宋体" w:eastAsia="宋体" w:cs="宋体"/>
          <w:color w:val="auto"/>
          <w:sz w:val="21"/>
          <w:szCs w:val="21"/>
          <w:highlight w:val="none"/>
          <w:u w:val="single"/>
        </w:rPr>
        <w:t xml:space="preserve">       （采购项目名称）</w:t>
      </w:r>
      <w:r>
        <w:rPr>
          <w:rFonts w:hint="eastAsia" w:ascii="宋体" w:hAnsi="宋体" w:eastAsia="宋体" w:cs="宋体"/>
          <w:color w:val="auto"/>
          <w:sz w:val="21"/>
          <w:szCs w:val="21"/>
          <w:highlight w:val="none"/>
        </w:rPr>
        <w:t>” （项目编号: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活动前三年内（设立不满三年的从设立之日计算），在经营活动中没有重大违法记录；至本项目提交投标文件截止时间止未被列入“信用中国”网站及“中国政府采购网”失信被执行人、重大税收违法案件当事人名单、政府采购严重违法失信行为记录名单。</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我公司以上承诺均为真实有效，绝无任何虚假、伪造的成份，否则，愿承担相应的后果和法律责任。</w:t>
      </w:r>
    </w:p>
    <w:p>
      <w:pPr>
        <w:spacing w:after="0" w:line="360" w:lineRule="auto"/>
        <w:ind w:firstLine="420" w:firstLineChars="200"/>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投标人名称（盖章）：</w:t>
      </w:r>
    </w:p>
    <w:p>
      <w:pPr>
        <w:spacing w:after="0" w:line="360" w:lineRule="auto"/>
        <w:rPr>
          <w:rFonts w:ascii="宋体" w:hAnsi="宋体" w:eastAsia="宋体" w:cs="宋体"/>
          <w:color w:val="auto"/>
          <w:sz w:val="21"/>
          <w:szCs w:val="21"/>
          <w:highlight w:val="none"/>
        </w:rPr>
      </w:pP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pPr>
        <w:adjustRightInd/>
        <w:snapToGrid/>
        <w:spacing w:line="276" w:lineRule="auto"/>
        <w:rPr>
          <w:rFonts w:ascii="楷体_GB2312" w:eastAsia="楷体_GB2312" w:hAnsiTheme="majorHAnsi" w:cstheme="majorBidi"/>
          <w:b/>
          <w:bCs/>
          <w:color w:val="auto"/>
          <w:sz w:val="24"/>
          <w:szCs w:val="28"/>
          <w:highlight w:val="none"/>
        </w:rPr>
      </w:pPr>
      <w:bookmarkStart w:id="154" w:name="_Toc417907703"/>
      <w:r>
        <w:rPr>
          <w:rFonts w:ascii="楷体_GB2312" w:eastAsia="楷体_GB2312"/>
          <w:color w:val="auto"/>
          <w:sz w:val="24"/>
          <w:highlight w:val="none"/>
        </w:rPr>
        <w:br w:type="page"/>
      </w:r>
    </w:p>
    <w:p>
      <w:pPr>
        <w:pStyle w:val="5"/>
        <w:widowControl w:val="0"/>
        <w:overflowPunct w:val="0"/>
        <w:spacing w:before="0" w:after="0" w:line="240" w:lineRule="auto"/>
        <w:rPr>
          <w:color w:val="auto"/>
          <w:highlight w:val="none"/>
        </w:rPr>
      </w:pPr>
      <w:bookmarkStart w:id="155" w:name="_Toc26259"/>
      <w:r>
        <w:rPr>
          <w:rFonts w:hint="eastAsia" w:ascii="宋体" w:hAnsi="宋体" w:eastAsia="宋体"/>
          <w:color w:val="auto"/>
          <w:sz w:val="21"/>
          <w:szCs w:val="21"/>
          <w:highlight w:val="none"/>
        </w:rPr>
        <w:t>附件18. 中小企业声明函（投标人为中小企业时适用）</w:t>
      </w:r>
      <w:bookmarkEnd w:id="154"/>
      <w:bookmarkEnd w:id="155"/>
    </w:p>
    <w:p>
      <w:pPr>
        <w:jc w:val="center"/>
        <w:rPr>
          <w:rFonts w:ascii="微软雅黑" w:hAnsi="微软雅黑" w:cs="微软雅黑"/>
          <w:b/>
          <w:color w:val="auto"/>
          <w:sz w:val="28"/>
          <w:szCs w:val="28"/>
          <w:highlight w:val="none"/>
        </w:rPr>
      </w:pPr>
    </w:p>
    <w:p>
      <w:pPr>
        <w:jc w:val="center"/>
        <w:rPr>
          <w:rFonts w:hint="eastAsia" w:ascii="黑体" w:eastAsia="黑体"/>
          <w:color w:val="auto"/>
          <w:sz w:val="28"/>
          <w:szCs w:val="28"/>
          <w:highlight w:val="none"/>
          <w:lang w:eastAsia="zh-CN"/>
        </w:rPr>
      </w:pPr>
      <w:r>
        <w:rPr>
          <w:rFonts w:hint="eastAsia" w:ascii="黑体" w:eastAsia="黑体"/>
          <w:color w:val="auto"/>
          <w:sz w:val="28"/>
          <w:szCs w:val="28"/>
          <w:highlight w:val="none"/>
        </w:rPr>
        <w:t>中小企业声明函</w:t>
      </w:r>
      <w:r>
        <w:rPr>
          <w:rFonts w:hint="eastAsia" w:ascii="黑体" w:eastAsia="黑体"/>
          <w:color w:val="auto"/>
          <w:sz w:val="28"/>
          <w:szCs w:val="28"/>
          <w:highlight w:val="none"/>
          <w:lang w:eastAsia="zh-CN"/>
        </w:rPr>
        <w:t>（货物）</w:t>
      </w:r>
    </w:p>
    <w:p>
      <w:pPr>
        <w:keepNext w:val="0"/>
        <w:keepLines w:val="0"/>
        <w:pageBreakBefore w:val="0"/>
        <w:widowControl/>
        <w:kinsoku/>
        <w:wordWrap/>
        <w:overflowPunct/>
        <w:topLinePunct w:val="0"/>
        <w:autoSpaceDE/>
        <w:autoSpaceDN/>
        <w:bidi w:val="0"/>
        <w:adjustRightInd w:val="0"/>
        <w:snapToGrid w:val="0"/>
        <w:spacing w:line="360" w:lineRule="auto"/>
        <w:ind w:firstLine="630" w:firstLineChars="3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lang w:val="en-US" w:eastAsia="zh-CN"/>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auto"/>
          <w:sz w:val="21"/>
          <w:szCs w:val="21"/>
          <w:highlight w:val="none"/>
          <w:u w:val="single"/>
          <w:lang w:val="en-US" w:eastAsia="zh-CN"/>
        </w:rPr>
        <w:t>（单位名称）</w:t>
      </w:r>
      <w:r>
        <w:rPr>
          <w:rFonts w:hint="eastAsia" w:asciiTheme="minorEastAsia" w:hAnsiTheme="minorEastAsia" w:eastAsiaTheme="minorEastAsia" w:cstheme="minorEastAsia"/>
          <w:color w:val="auto"/>
          <w:sz w:val="21"/>
          <w:szCs w:val="21"/>
          <w:highlight w:val="none"/>
          <w:u w:val="none"/>
          <w:lang w:val="en-US" w:eastAsia="zh-CN"/>
        </w:rPr>
        <w:t>的</w:t>
      </w:r>
      <w:r>
        <w:rPr>
          <w:rFonts w:hint="eastAsia" w:asciiTheme="minorEastAsia" w:hAnsiTheme="minorEastAsia" w:eastAsiaTheme="minorEastAsia" w:cstheme="minorEastAsia"/>
          <w:color w:val="auto"/>
          <w:sz w:val="21"/>
          <w:szCs w:val="21"/>
          <w:highlight w:val="none"/>
          <w:u w:val="single"/>
          <w:lang w:val="en-US" w:eastAsia="zh-CN"/>
        </w:rPr>
        <w:t>（项目名称）</w:t>
      </w:r>
      <w:r>
        <w:rPr>
          <w:rFonts w:hint="eastAsia" w:asciiTheme="minorEastAsia" w:hAnsiTheme="minorEastAsia" w:eastAsiaTheme="minorEastAsia" w:cstheme="minorEastAsia"/>
          <w:color w:val="auto"/>
          <w:sz w:val="21"/>
          <w:szCs w:val="21"/>
          <w:highlight w:val="none"/>
          <w:u w:val="none"/>
          <w:lang w:val="en-US" w:eastAsia="zh-CN"/>
        </w:rPr>
        <w:t>采购活动，提供的货物全部由符合政策要求的中小企业制造。相关企业</w:t>
      </w:r>
      <w:r>
        <w:rPr>
          <w:rFonts w:hint="eastAsia" w:asciiTheme="minorEastAsia" w:hAnsiTheme="minorEastAsia" w:eastAsiaTheme="minorEastAsia" w:cstheme="minorEastAsia"/>
          <w:color w:val="auto"/>
          <w:sz w:val="21"/>
          <w:szCs w:val="21"/>
          <w:highlight w:val="none"/>
          <w:u w:val="single"/>
          <w:lang w:val="en-US" w:eastAsia="zh-CN"/>
        </w:rPr>
        <w:t>（含联合体中的中小企业、签订分包意向协议的中小企业）</w:t>
      </w:r>
      <w:r>
        <w:rPr>
          <w:rFonts w:hint="eastAsia" w:asciiTheme="minorEastAsia" w:hAnsiTheme="minorEastAsia" w:eastAsiaTheme="minorEastAsia" w:cstheme="minorEastAsia"/>
          <w:color w:val="auto"/>
          <w:sz w:val="21"/>
          <w:szCs w:val="21"/>
          <w:highlight w:val="none"/>
          <w:u w:val="none"/>
          <w:lang w:val="en-US" w:eastAsia="zh-CN"/>
        </w:rPr>
        <w:t>的具体情况如下：</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1.</w:t>
      </w:r>
      <w:r>
        <w:rPr>
          <w:rFonts w:hint="eastAsia" w:asciiTheme="minorEastAsia" w:hAnsiTheme="minorEastAsia" w:eastAsiaTheme="minorEastAsia" w:cstheme="minorEastAsia"/>
          <w:color w:val="auto"/>
          <w:sz w:val="21"/>
          <w:szCs w:val="21"/>
          <w:highlight w:val="none"/>
          <w:u w:val="single"/>
          <w:lang w:val="en-US" w:eastAsia="zh-CN"/>
        </w:rPr>
        <w:t>（标的名称）</w:t>
      </w:r>
      <w:r>
        <w:rPr>
          <w:rFonts w:hint="eastAsia" w:asciiTheme="minorEastAsia" w:hAnsiTheme="minorEastAsia" w:eastAsiaTheme="minorEastAsia" w:cstheme="minorEastAsia"/>
          <w:color w:val="auto"/>
          <w:sz w:val="21"/>
          <w:szCs w:val="21"/>
          <w:highlight w:val="none"/>
          <w:u w:val="none"/>
          <w:lang w:val="en-US" w:eastAsia="zh-CN"/>
        </w:rPr>
        <w:t>，属于</w:t>
      </w:r>
      <w:r>
        <w:rPr>
          <w:rFonts w:hint="eastAsia" w:asciiTheme="minorEastAsia" w:hAnsiTheme="minorEastAsia" w:eastAsiaTheme="minorEastAsia" w:cstheme="minorEastAsia"/>
          <w:color w:val="auto"/>
          <w:sz w:val="21"/>
          <w:szCs w:val="21"/>
          <w:highlight w:val="none"/>
          <w:u w:val="single"/>
          <w:lang w:val="en-US" w:eastAsia="zh-CN"/>
        </w:rPr>
        <w:t>（采购文件中明确的所属行业）行业</w:t>
      </w:r>
      <w:r>
        <w:rPr>
          <w:rFonts w:hint="eastAsia" w:asciiTheme="minorEastAsia" w:hAnsiTheme="minorEastAsia" w:eastAsiaTheme="minorEastAsia" w:cstheme="minorEastAsia"/>
          <w:color w:val="auto"/>
          <w:sz w:val="21"/>
          <w:szCs w:val="21"/>
          <w:highlight w:val="none"/>
          <w:u w:val="none"/>
          <w:lang w:val="en-US" w:eastAsia="zh-CN"/>
        </w:rPr>
        <w:t>；制造商为</w:t>
      </w:r>
      <w:r>
        <w:rPr>
          <w:rFonts w:hint="eastAsia" w:asciiTheme="minorEastAsia" w:hAnsiTheme="minorEastAsia" w:eastAsiaTheme="minorEastAsia" w:cstheme="minorEastAsia"/>
          <w:color w:val="auto"/>
          <w:sz w:val="21"/>
          <w:szCs w:val="21"/>
          <w:highlight w:val="none"/>
          <w:u w:val="single"/>
          <w:lang w:val="en-US" w:eastAsia="zh-CN"/>
        </w:rPr>
        <w:t>（企业名称）</w:t>
      </w:r>
      <w:r>
        <w:rPr>
          <w:rFonts w:hint="eastAsia" w:asciiTheme="minorEastAsia" w:hAnsiTheme="minorEastAsia" w:eastAsiaTheme="minorEastAsia" w:cstheme="minorEastAsia"/>
          <w:color w:val="auto"/>
          <w:sz w:val="21"/>
          <w:szCs w:val="21"/>
          <w:highlight w:val="none"/>
          <w:u w:val="none"/>
          <w:lang w:val="en-US" w:eastAsia="zh-CN"/>
        </w:rPr>
        <w:t>，从业人员_______人，营业收入为_______万元，资产总额为______万元</w:t>
      </w:r>
      <w:r>
        <w:rPr>
          <w:rStyle w:val="23"/>
          <w:rFonts w:hint="eastAsia" w:asciiTheme="minorEastAsia" w:hAnsiTheme="minorEastAsia" w:eastAsiaTheme="minorEastAsia" w:cstheme="minorEastAsia"/>
          <w:color w:val="auto"/>
          <w:sz w:val="21"/>
          <w:szCs w:val="21"/>
          <w:highlight w:val="none"/>
          <w:u w:val="none"/>
          <w:lang w:val="en-US" w:eastAsia="zh-CN"/>
        </w:rPr>
        <w:footnoteReference w:id="0"/>
      </w:r>
      <w:r>
        <w:rPr>
          <w:rFonts w:hint="eastAsia" w:asciiTheme="minorEastAsia" w:hAnsiTheme="minorEastAsia" w:eastAsiaTheme="minorEastAsia" w:cstheme="minorEastAsia"/>
          <w:color w:val="auto"/>
          <w:sz w:val="21"/>
          <w:szCs w:val="21"/>
          <w:highlight w:val="none"/>
          <w:u w:val="none"/>
          <w:lang w:val="en-US" w:eastAsia="zh-CN"/>
        </w:rPr>
        <w:t>，属于</w:t>
      </w:r>
      <w:r>
        <w:rPr>
          <w:rFonts w:hint="eastAsia" w:asciiTheme="minorEastAsia" w:hAnsiTheme="minorEastAsia" w:eastAsiaTheme="minorEastAsia" w:cstheme="minorEastAsia"/>
          <w:color w:val="auto"/>
          <w:sz w:val="21"/>
          <w:szCs w:val="21"/>
          <w:highlight w:val="none"/>
          <w:u w:val="single"/>
          <w:lang w:val="en-US" w:eastAsia="zh-CN"/>
        </w:rPr>
        <w:t>（中型企业、小型企业、微型企业）</w:t>
      </w:r>
      <w:r>
        <w:rPr>
          <w:rFonts w:hint="eastAsia" w:asciiTheme="minorEastAsia" w:hAnsiTheme="minorEastAsia" w:eastAsiaTheme="minorEastAsia" w:cstheme="minorEastAsia"/>
          <w:color w:val="auto"/>
          <w:sz w:val="21"/>
          <w:szCs w:val="21"/>
          <w:highlight w:val="none"/>
          <w:u w:val="none"/>
          <w:lang w:val="en-US" w:eastAsia="zh-CN"/>
        </w:rPr>
        <w:t>；</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 xml:space="preserve">    2.</w:t>
      </w:r>
      <w:r>
        <w:rPr>
          <w:rFonts w:hint="eastAsia" w:asciiTheme="minorEastAsia" w:hAnsiTheme="minorEastAsia" w:eastAsiaTheme="minorEastAsia" w:cstheme="minorEastAsia"/>
          <w:color w:val="auto"/>
          <w:sz w:val="21"/>
          <w:szCs w:val="21"/>
          <w:highlight w:val="none"/>
          <w:u w:val="single"/>
          <w:lang w:val="en-US" w:eastAsia="zh-CN"/>
        </w:rPr>
        <w:t>（标的名称）</w:t>
      </w:r>
      <w:r>
        <w:rPr>
          <w:rFonts w:hint="eastAsia" w:asciiTheme="minorEastAsia" w:hAnsiTheme="minorEastAsia" w:eastAsiaTheme="minorEastAsia" w:cstheme="minorEastAsia"/>
          <w:color w:val="auto"/>
          <w:sz w:val="21"/>
          <w:szCs w:val="21"/>
          <w:highlight w:val="none"/>
          <w:u w:val="none"/>
          <w:lang w:val="en-US" w:eastAsia="zh-CN"/>
        </w:rPr>
        <w:t>，属于</w:t>
      </w:r>
      <w:r>
        <w:rPr>
          <w:rFonts w:hint="eastAsia" w:asciiTheme="minorEastAsia" w:hAnsiTheme="minorEastAsia" w:eastAsiaTheme="minorEastAsia" w:cstheme="minorEastAsia"/>
          <w:color w:val="auto"/>
          <w:sz w:val="21"/>
          <w:szCs w:val="21"/>
          <w:highlight w:val="none"/>
          <w:u w:val="single"/>
          <w:lang w:val="en-US" w:eastAsia="zh-CN"/>
        </w:rPr>
        <w:t>（采购文件中明确的所属行业）行业</w:t>
      </w:r>
      <w:r>
        <w:rPr>
          <w:rFonts w:hint="eastAsia" w:asciiTheme="minorEastAsia" w:hAnsiTheme="minorEastAsia" w:eastAsiaTheme="minorEastAsia" w:cstheme="minorEastAsia"/>
          <w:color w:val="auto"/>
          <w:sz w:val="21"/>
          <w:szCs w:val="21"/>
          <w:highlight w:val="none"/>
          <w:u w:val="none"/>
          <w:lang w:val="en-US" w:eastAsia="zh-CN"/>
        </w:rPr>
        <w:t>；制造商为</w:t>
      </w:r>
      <w:r>
        <w:rPr>
          <w:rFonts w:hint="eastAsia" w:asciiTheme="minorEastAsia" w:hAnsiTheme="minorEastAsia" w:eastAsiaTheme="minorEastAsia" w:cstheme="minorEastAsia"/>
          <w:color w:val="auto"/>
          <w:sz w:val="21"/>
          <w:szCs w:val="21"/>
          <w:highlight w:val="none"/>
          <w:u w:val="single"/>
          <w:lang w:val="en-US" w:eastAsia="zh-CN"/>
        </w:rPr>
        <w:t>（企业名称）</w:t>
      </w:r>
      <w:r>
        <w:rPr>
          <w:rFonts w:hint="eastAsia" w:asciiTheme="minorEastAsia" w:hAnsiTheme="minorEastAsia" w:eastAsiaTheme="minorEastAsia" w:cstheme="minorEastAsia"/>
          <w:color w:val="auto"/>
          <w:sz w:val="21"/>
          <w:szCs w:val="21"/>
          <w:highlight w:val="none"/>
          <w:u w:val="none"/>
          <w:lang w:val="en-US" w:eastAsia="zh-CN"/>
        </w:rPr>
        <w:t>，从业人员_______人，营业收入为_______万元，资产总额为______万元，属于</w:t>
      </w:r>
      <w:r>
        <w:rPr>
          <w:rFonts w:hint="eastAsia" w:asciiTheme="minorEastAsia" w:hAnsiTheme="minorEastAsia" w:eastAsiaTheme="minorEastAsia" w:cstheme="minorEastAsia"/>
          <w:color w:val="auto"/>
          <w:sz w:val="21"/>
          <w:szCs w:val="21"/>
          <w:highlight w:val="none"/>
          <w:u w:val="single"/>
          <w:lang w:val="en-US" w:eastAsia="zh-CN"/>
        </w:rPr>
        <w:t>（中型企业、小型企业、微型企业）</w:t>
      </w:r>
      <w:r>
        <w:rPr>
          <w:rFonts w:hint="eastAsia" w:asciiTheme="minorEastAsia" w:hAnsiTheme="minorEastAsia" w:eastAsiaTheme="minorEastAsia" w:cstheme="minorEastAsia"/>
          <w:color w:val="auto"/>
          <w:sz w:val="21"/>
          <w:szCs w:val="21"/>
          <w:highlight w:val="none"/>
          <w:u w:val="none"/>
          <w:lang w:val="en-US" w:eastAsia="zh-CN"/>
        </w:rPr>
        <w:t>；</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以上企业，不属于大企业的分支机构，不存在控股股东为大企业的情形，也不存在与大企业的负责人为同一人的情形。</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本企业对上诉声明内容的真实性负责。如有虚假，将依法承担相应责任。</w:t>
      </w:r>
    </w:p>
    <w:p>
      <w:pPr>
        <w:pStyle w:val="2"/>
        <w:keepNext w:val="0"/>
        <w:keepLines w:val="0"/>
        <w:pageBreakBefore w:val="0"/>
        <w:widowControl/>
        <w:kinsoku/>
        <w:wordWrap w:val="0"/>
        <w:overflowPunct/>
        <w:topLinePunct w:val="0"/>
        <w:autoSpaceDE/>
        <w:autoSpaceDN/>
        <w:bidi w:val="0"/>
        <w:adjustRightInd w:val="0"/>
        <w:snapToGrid w:val="0"/>
        <w:spacing w:line="360" w:lineRule="auto"/>
        <w:ind w:left="0" w:leftChars="0" w:firstLine="480" w:firstLineChars="0"/>
        <w:jc w:val="right"/>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 xml:space="preserve">    </w:t>
      </w:r>
    </w:p>
    <w:p>
      <w:pPr>
        <w:pStyle w:val="2"/>
        <w:keepNext w:val="0"/>
        <w:keepLines w:val="0"/>
        <w:pageBreakBefore w:val="0"/>
        <w:widowControl/>
        <w:kinsoku/>
        <w:wordWrap/>
        <w:overflowPunct/>
        <w:topLinePunct w:val="0"/>
        <w:autoSpaceDE/>
        <w:autoSpaceDN/>
        <w:bidi w:val="0"/>
        <w:adjustRightInd w:val="0"/>
        <w:snapToGrid w:val="0"/>
        <w:spacing w:line="360" w:lineRule="auto"/>
        <w:ind w:firstLine="4830" w:firstLineChars="2300"/>
        <w:jc w:val="both"/>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企业名称（盖章）：</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0"/>
        <w:jc w:val="center"/>
        <w:textAlignment w:val="auto"/>
        <w:rPr>
          <w:rFonts w:hint="default"/>
          <w:color w:val="auto"/>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 xml:space="preserve">                 日期：</w:t>
      </w:r>
    </w:p>
    <w:p>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br w:type="page"/>
      </w:r>
    </w:p>
    <w:p>
      <w:pPr>
        <w:jc w:val="center"/>
        <w:rPr>
          <w:rFonts w:hint="eastAsia" w:ascii="黑体" w:eastAsia="黑体"/>
          <w:color w:val="auto"/>
          <w:sz w:val="28"/>
          <w:szCs w:val="28"/>
          <w:highlight w:val="none"/>
        </w:rPr>
      </w:pPr>
    </w:p>
    <w:p>
      <w:pPr>
        <w:jc w:val="center"/>
        <w:rPr>
          <w:rFonts w:hint="eastAsia" w:ascii="黑体" w:eastAsia="黑体"/>
          <w:color w:val="auto"/>
          <w:sz w:val="28"/>
          <w:szCs w:val="28"/>
          <w:highlight w:val="none"/>
          <w:lang w:eastAsia="zh-CN"/>
        </w:rPr>
      </w:pPr>
      <w:r>
        <w:rPr>
          <w:rFonts w:hint="eastAsia" w:ascii="黑体" w:eastAsia="黑体"/>
          <w:color w:val="auto"/>
          <w:sz w:val="28"/>
          <w:szCs w:val="28"/>
          <w:highlight w:val="none"/>
        </w:rPr>
        <w:t>中小企业声明函</w:t>
      </w:r>
      <w:r>
        <w:rPr>
          <w:rFonts w:hint="eastAsia" w:ascii="黑体" w:eastAsia="黑体"/>
          <w:color w:val="auto"/>
          <w:sz w:val="28"/>
          <w:szCs w:val="28"/>
          <w:highlight w:val="none"/>
          <w:lang w:eastAsia="zh-CN"/>
        </w:rPr>
        <w:t>（工程、服务）</w:t>
      </w:r>
    </w:p>
    <w:p>
      <w:pPr>
        <w:keepNext w:val="0"/>
        <w:keepLines w:val="0"/>
        <w:pageBreakBefore w:val="0"/>
        <w:widowControl/>
        <w:kinsoku/>
        <w:wordWrap/>
        <w:overflowPunct/>
        <w:topLinePunct w:val="0"/>
        <w:autoSpaceDE/>
        <w:autoSpaceDN/>
        <w:bidi w:val="0"/>
        <w:adjustRightInd w:val="0"/>
        <w:snapToGrid w:val="0"/>
        <w:spacing w:line="360" w:lineRule="auto"/>
        <w:ind w:firstLine="22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eastAsiaTheme="minorEastAsia"/>
          <w:color w:val="auto"/>
          <w:highlight w:val="none"/>
          <w:lang w:val="en-US" w:eastAsia="zh-CN"/>
        </w:rPr>
        <w:t xml:space="preserve">     </w:t>
      </w:r>
      <w:r>
        <w:rPr>
          <w:rFonts w:hint="eastAsia" w:asciiTheme="minorEastAsia" w:hAnsiTheme="minorEastAsia" w:eastAsiaTheme="minorEastAsia" w:cstheme="minorEastAsia"/>
          <w:color w:val="auto"/>
          <w:sz w:val="21"/>
          <w:szCs w:val="21"/>
          <w:highlight w:val="none"/>
          <w:lang w:val="en-US" w:eastAsia="zh-CN"/>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auto"/>
          <w:sz w:val="21"/>
          <w:szCs w:val="21"/>
          <w:highlight w:val="none"/>
          <w:u w:val="single"/>
          <w:lang w:val="en-US" w:eastAsia="zh-CN"/>
        </w:rPr>
        <w:t>（单位名称）</w:t>
      </w:r>
      <w:r>
        <w:rPr>
          <w:rFonts w:hint="eastAsia" w:asciiTheme="minorEastAsia" w:hAnsiTheme="minorEastAsia" w:eastAsiaTheme="minorEastAsia" w:cstheme="minorEastAsia"/>
          <w:color w:val="auto"/>
          <w:sz w:val="21"/>
          <w:szCs w:val="21"/>
          <w:highlight w:val="none"/>
          <w:u w:val="none"/>
          <w:lang w:val="en-US" w:eastAsia="zh-CN"/>
        </w:rPr>
        <w:t>的</w:t>
      </w:r>
      <w:r>
        <w:rPr>
          <w:rFonts w:hint="eastAsia" w:asciiTheme="minorEastAsia" w:hAnsiTheme="minorEastAsia" w:eastAsiaTheme="minorEastAsia" w:cstheme="minorEastAsia"/>
          <w:color w:val="auto"/>
          <w:sz w:val="21"/>
          <w:szCs w:val="21"/>
          <w:highlight w:val="none"/>
          <w:u w:val="single"/>
          <w:lang w:val="en-US" w:eastAsia="zh-CN"/>
        </w:rPr>
        <w:t>（项目名称）</w:t>
      </w:r>
      <w:r>
        <w:rPr>
          <w:rFonts w:hint="eastAsia" w:asciiTheme="minorEastAsia" w:hAnsiTheme="minorEastAsia" w:eastAsiaTheme="minorEastAsia" w:cstheme="minorEastAsia"/>
          <w:color w:val="auto"/>
          <w:sz w:val="21"/>
          <w:szCs w:val="21"/>
          <w:highlight w:val="none"/>
          <w:u w:val="none"/>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    1.</w:t>
      </w:r>
      <w:r>
        <w:rPr>
          <w:rFonts w:hint="eastAsia" w:asciiTheme="minorEastAsia" w:hAnsiTheme="minorEastAsia" w:eastAsiaTheme="minorEastAsia" w:cstheme="minorEastAsia"/>
          <w:color w:val="auto"/>
          <w:sz w:val="21"/>
          <w:szCs w:val="21"/>
          <w:highlight w:val="none"/>
          <w:u w:val="single"/>
          <w:lang w:val="en-US" w:eastAsia="zh-CN"/>
        </w:rPr>
        <w:t>（标的名称）</w:t>
      </w:r>
      <w:r>
        <w:rPr>
          <w:rFonts w:hint="eastAsia" w:asciiTheme="minorEastAsia" w:hAnsiTheme="minorEastAsia" w:eastAsiaTheme="minorEastAsia" w:cstheme="minorEastAsia"/>
          <w:color w:val="auto"/>
          <w:sz w:val="21"/>
          <w:szCs w:val="21"/>
          <w:highlight w:val="none"/>
          <w:u w:val="none"/>
          <w:lang w:val="en-US" w:eastAsia="zh-CN"/>
        </w:rPr>
        <w:t>，属于</w:t>
      </w:r>
      <w:r>
        <w:rPr>
          <w:rFonts w:hint="eastAsia" w:asciiTheme="minorEastAsia" w:hAnsiTheme="minorEastAsia" w:eastAsiaTheme="minorEastAsia" w:cstheme="minorEastAsia"/>
          <w:color w:val="auto"/>
          <w:sz w:val="21"/>
          <w:szCs w:val="21"/>
          <w:highlight w:val="none"/>
          <w:u w:val="single"/>
          <w:lang w:val="en-US" w:eastAsia="zh-CN"/>
        </w:rPr>
        <w:t>（采购文件中明确的所属行业）行业</w:t>
      </w:r>
      <w:r>
        <w:rPr>
          <w:rFonts w:hint="eastAsia" w:asciiTheme="minorEastAsia" w:hAnsiTheme="minorEastAsia" w:eastAsiaTheme="minorEastAsia" w:cstheme="minorEastAsia"/>
          <w:color w:val="auto"/>
          <w:sz w:val="21"/>
          <w:szCs w:val="21"/>
          <w:highlight w:val="none"/>
          <w:u w:val="none"/>
          <w:lang w:val="en-US" w:eastAsia="zh-CN"/>
        </w:rPr>
        <w:t>；承建（承接）企业为</w:t>
      </w:r>
      <w:r>
        <w:rPr>
          <w:rFonts w:hint="eastAsia" w:asciiTheme="minorEastAsia" w:hAnsiTheme="minorEastAsia" w:eastAsiaTheme="minorEastAsia" w:cstheme="minorEastAsia"/>
          <w:color w:val="auto"/>
          <w:sz w:val="21"/>
          <w:szCs w:val="21"/>
          <w:highlight w:val="none"/>
          <w:u w:val="single"/>
          <w:lang w:val="en-US" w:eastAsia="zh-CN"/>
        </w:rPr>
        <w:t>（企业名称）</w:t>
      </w:r>
      <w:r>
        <w:rPr>
          <w:rFonts w:hint="eastAsia" w:asciiTheme="minorEastAsia" w:hAnsiTheme="minorEastAsia" w:eastAsiaTheme="minorEastAsia" w:cstheme="minorEastAsia"/>
          <w:color w:val="auto"/>
          <w:sz w:val="21"/>
          <w:szCs w:val="21"/>
          <w:highlight w:val="none"/>
          <w:u w:val="none"/>
          <w:lang w:val="en-US" w:eastAsia="zh-CN"/>
        </w:rPr>
        <w:t>，从业人员_______人，营业收入为_______万元，资产总额为______万元</w:t>
      </w:r>
      <w:r>
        <w:rPr>
          <w:rStyle w:val="23"/>
          <w:rFonts w:hint="eastAsia" w:asciiTheme="minorEastAsia" w:hAnsiTheme="minorEastAsia" w:eastAsiaTheme="minorEastAsia" w:cstheme="minorEastAsia"/>
          <w:color w:val="auto"/>
          <w:sz w:val="21"/>
          <w:szCs w:val="21"/>
          <w:highlight w:val="none"/>
          <w:u w:val="none"/>
          <w:lang w:val="en-US" w:eastAsia="zh-CN"/>
        </w:rPr>
        <w:footnoteReference w:id="1"/>
      </w:r>
      <w:r>
        <w:rPr>
          <w:rFonts w:hint="eastAsia" w:asciiTheme="minorEastAsia" w:hAnsiTheme="minorEastAsia" w:eastAsiaTheme="minorEastAsia" w:cstheme="minorEastAsia"/>
          <w:color w:val="auto"/>
          <w:sz w:val="21"/>
          <w:szCs w:val="21"/>
          <w:highlight w:val="none"/>
          <w:u w:val="none"/>
          <w:lang w:val="en-US" w:eastAsia="zh-CN"/>
        </w:rPr>
        <w:t>，属于</w:t>
      </w:r>
      <w:r>
        <w:rPr>
          <w:rFonts w:hint="eastAsia" w:asciiTheme="minorEastAsia" w:hAnsiTheme="minorEastAsia" w:eastAsiaTheme="minorEastAsia" w:cstheme="minorEastAsia"/>
          <w:color w:val="auto"/>
          <w:sz w:val="21"/>
          <w:szCs w:val="21"/>
          <w:highlight w:val="none"/>
          <w:u w:val="single"/>
          <w:lang w:val="en-US" w:eastAsia="zh-CN"/>
        </w:rPr>
        <w:t>（中型企业、小型企业、微型企业）</w:t>
      </w:r>
      <w:r>
        <w:rPr>
          <w:rFonts w:hint="eastAsia" w:asciiTheme="minorEastAsia" w:hAnsiTheme="minorEastAsia" w:eastAsiaTheme="minorEastAsia" w:cstheme="minorEastAsia"/>
          <w:color w:val="auto"/>
          <w:sz w:val="21"/>
          <w:szCs w:val="21"/>
          <w:highlight w:val="none"/>
          <w:u w:val="none"/>
          <w:lang w:val="en-US" w:eastAsia="zh-CN"/>
        </w:rPr>
        <w:t>；</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 xml:space="preserve">    2.</w:t>
      </w:r>
      <w:r>
        <w:rPr>
          <w:rFonts w:hint="eastAsia" w:asciiTheme="minorEastAsia" w:hAnsiTheme="minorEastAsia" w:eastAsiaTheme="minorEastAsia" w:cstheme="minorEastAsia"/>
          <w:color w:val="auto"/>
          <w:sz w:val="21"/>
          <w:szCs w:val="21"/>
          <w:highlight w:val="none"/>
          <w:u w:val="single"/>
          <w:lang w:val="en-US" w:eastAsia="zh-CN"/>
        </w:rPr>
        <w:t>（标的名称）</w:t>
      </w:r>
      <w:r>
        <w:rPr>
          <w:rFonts w:hint="eastAsia" w:asciiTheme="minorEastAsia" w:hAnsiTheme="minorEastAsia" w:eastAsiaTheme="minorEastAsia" w:cstheme="minorEastAsia"/>
          <w:color w:val="auto"/>
          <w:sz w:val="21"/>
          <w:szCs w:val="21"/>
          <w:highlight w:val="none"/>
          <w:u w:val="none"/>
          <w:lang w:val="en-US" w:eastAsia="zh-CN"/>
        </w:rPr>
        <w:t>，属于</w:t>
      </w:r>
      <w:r>
        <w:rPr>
          <w:rFonts w:hint="eastAsia" w:asciiTheme="minorEastAsia" w:hAnsiTheme="minorEastAsia" w:eastAsiaTheme="minorEastAsia" w:cstheme="minorEastAsia"/>
          <w:color w:val="auto"/>
          <w:sz w:val="21"/>
          <w:szCs w:val="21"/>
          <w:highlight w:val="none"/>
          <w:u w:val="single"/>
          <w:lang w:val="en-US" w:eastAsia="zh-CN"/>
        </w:rPr>
        <w:t>（采购文件中明确的所属行业）行业</w:t>
      </w:r>
      <w:r>
        <w:rPr>
          <w:rFonts w:hint="eastAsia" w:asciiTheme="minorEastAsia" w:hAnsiTheme="minorEastAsia" w:eastAsiaTheme="minorEastAsia" w:cstheme="minorEastAsia"/>
          <w:color w:val="auto"/>
          <w:sz w:val="21"/>
          <w:szCs w:val="21"/>
          <w:highlight w:val="none"/>
          <w:u w:val="none"/>
          <w:lang w:val="en-US" w:eastAsia="zh-CN"/>
        </w:rPr>
        <w:t>；承建（承接）企业为</w:t>
      </w:r>
      <w:r>
        <w:rPr>
          <w:rFonts w:hint="eastAsia" w:asciiTheme="minorEastAsia" w:hAnsiTheme="minorEastAsia" w:eastAsiaTheme="minorEastAsia" w:cstheme="minorEastAsia"/>
          <w:color w:val="auto"/>
          <w:sz w:val="21"/>
          <w:szCs w:val="21"/>
          <w:highlight w:val="none"/>
          <w:u w:val="single"/>
          <w:lang w:val="en-US" w:eastAsia="zh-CN"/>
        </w:rPr>
        <w:t>（企业名称）</w:t>
      </w:r>
      <w:r>
        <w:rPr>
          <w:rFonts w:hint="eastAsia" w:asciiTheme="minorEastAsia" w:hAnsiTheme="minorEastAsia" w:eastAsiaTheme="minorEastAsia" w:cstheme="minorEastAsia"/>
          <w:color w:val="auto"/>
          <w:sz w:val="21"/>
          <w:szCs w:val="21"/>
          <w:highlight w:val="none"/>
          <w:u w:val="none"/>
          <w:lang w:val="en-US" w:eastAsia="zh-CN"/>
        </w:rPr>
        <w:t>，从业人员_______人，营业收入为_______万元，资产总额为______万元，属于</w:t>
      </w:r>
      <w:r>
        <w:rPr>
          <w:rFonts w:hint="eastAsia" w:asciiTheme="minorEastAsia" w:hAnsiTheme="minorEastAsia" w:eastAsiaTheme="minorEastAsia" w:cstheme="minorEastAsia"/>
          <w:color w:val="auto"/>
          <w:sz w:val="21"/>
          <w:szCs w:val="21"/>
          <w:highlight w:val="none"/>
          <w:u w:val="single"/>
          <w:lang w:val="en-US" w:eastAsia="zh-CN"/>
        </w:rPr>
        <w:t>（中型企业、小型企业、微型企业）</w:t>
      </w:r>
      <w:r>
        <w:rPr>
          <w:rFonts w:hint="eastAsia" w:asciiTheme="minorEastAsia" w:hAnsiTheme="minorEastAsia" w:eastAsiaTheme="minorEastAsia" w:cstheme="minorEastAsia"/>
          <w:color w:val="auto"/>
          <w:sz w:val="21"/>
          <w:szCs w:val="21"/>
          <w:highlight w:val="none"/>
          <w:u w:val="none"/>
          <w:lang w:val="en-US" w:eastAsia="zh-CN"/>
        </w:rPr>
        <w:t>；</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以上企业，不属于大企业的分支机构，不存在控股股东为大企业的情形，也不存在与大企业的负责人为同一人的情形。</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本企业对上诉声明内容的真实性负责。如有虚假，将依法承担相应责任。</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0"/>
        <w:jc w:val="left"/>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 xml:space="preserve">    </w:t>
      </w:r>
    </w:p>
    <w:p>
      <w:pPr>
        <w:pStyle w:val="2"/>
        <w:keepNext w:val="0"/>
        <w:keepLines w:val="0"/>
        <w:pageBreakBefore w:val="0"/>
        <w:widowControl/>
        <w:kinsoku/>
        <w:wordWrap/>
        <w:overflowPunct/>
        <w:topLinePunct w:val="0"/>
        <w:autoSpaceDE/>
        <w:autoSpaceDN/>
        <w:bidi w:val="0"/>
        <w:adjustRightInd w:val="0"/>
        <w:snapToGrid w:val="0"/>
        <w:spacing w:line="360" w:lineRule="auto"/>
        <w:ind w:firstLine="4830" w:firstLineChars="2300"/>
        <w:jc w:val="both"/>
        <w:textAlignment w:val="auto"/>
        <w:rPr>
          <w:rFonts w:hint="eastAsia" w:asciiTheme="minorEastAsia" w:hAnsiTheme="minorEastAsia" w:eastAsiaTheme="minorEastAsia" w:cstheme="minorEastAsia"/>
          <w:color w:val="auto"/>
          <w:sz w:val="21"/>
          <w:szCs w:val="21"/>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企业名称（盖章）：</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0"/>
        <w:jc w:val="center"/>
        <w:textAlignment w:val="auto"/>
        <w:rPr>
          <w:rFonts w:hint="default"/>
          <w:color w:val="auto"/>
          <w:highlight w:val="none"/>
          <w:u w:val="none"/>
          <w:lang w:val="en-US" w:eastAsia="zh-CN"/>
        </w:rPr>
      </w:pPr>
      <w:r>
        <w:rPr>
          <w:rFonts w:hint="eastAsia" w:asciiTheme="minorEastAsia" w:hAnsiTheme="minorEastAsia" w:eastAsiaTheme="minorEastAsia" w:cstheme="minorEastAsia"/>
          <w:color w:val="auto"/>
          <w:sz w:val="21"/>
          <w:szCs w:val="21"/>
          <w:highlight w:val="none"/>
          <w:u w:val="none"/>
          <w:lang w:val="en-US" w:eastAsia="zh-CN"/>
        </w:rPr>
        <w:t xml:space="preserve">                 日期：</w:t>
      </w:r>
    </w:p>
    <w:p>
      <w:pPr>
        <w:rPr>
          <w:rFonts w:hint="eastAsia" w:ascii="宋体" w:hAnsi="宋体" w:eastAsia="宋体"/>
          <w:color w:val="auto"/>
          <w:sz w:val="21"/>
          <w:szCs w:val="21"/>
          <w:highlight w:val="none"/>
        </w:rPr>
      </w:pPr>
      <w:r>
        <w:rPr>
          <w:rFonts w:hint="eastAsia" w:ascii="宋体" w:hAnsi="宋体" w:eastAsia="宋体"/>
          <w:color w:val="auto"/>
          <w:sz w:val="21"/>
          <w:szCs w:val="21"/>
          <w:highlight w:val="none"/>
        </w:rPr>
        <w:br w:type="page"/>
      </w:r>
    </w:p>
    <w:p>
      <w:pPr>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1、投标人应根据</w:t>
      </w:r>
      <w:r>
        <w:rPr>
          <w:rFonts w:hint="eastAsia" w:ascii="宋体" w:hAnsi="宋体" w:eastAsia="宋体"/>
          <w:color w:val="auto"/>
          <w:sz w:val="21"/>
          <w:szCs w:val="21"/>
          <w:highlight w:val="none"/>
          <w:lang w:eastAsia="zh-CN"/>
        </w:rPr>
        <w:t>《政府采购促进中小企业发展管理办法》的通知（财库〔2020〕46号）</w:t>
      </w:r>
      <w:r>
        <w:rPr>
          <w:rFonts w:hint="eastAsia" w:ascii="宋体" w:hAnsi="宋体" w:eastAsia="宋体"/>
          <w:color w:val="auto"/>
          <w:sz w:val="21"/>
          <w:szCs w:val="21"/>
          <w:highlight w:val="none"/>
        </w:rPr>
        <w:t>的有关规定如实填写此表。（监狱企业视同小型、微型企业，监狱企业参加政府采购活动时，应当提供由省级以上监狱管理局、戒毒管理局(含新疆生产建设兵团)出具的属于监狱企业的证明文件）</w:t>
      </w:r>
    </w:p>
    <w:p>
      <w:pPr>
        <w:spacing w:after="0" w:line="480" w:lineRule="auto"/>
        <w:ind w:firstLine="422" w:firstLineChars="200"/>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2、若投标人不属于规定的中小企业范围，或提供的产品不是中小企业制造的，则无需提供此表。中小企业划分标准可查阅《关于印发中小企业划型标准规定的通知》（工信部联企业〔2011〕300号）</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420" w:firstLineChars="200"/>
        <w:jc w:val="left"/>
        <w:textAlignment w:val="auto"/>
        <w:rPr>
          <w:rFonts w:hint="eastAsia" w:ascii="宋体" w:hAnsi="宋体" w:eastAsia="宋体" w:cstheme="minorBidi"/>
          <w:color w:val="auto"/>
          <w:sz w:val="21"/>
          <w:szCs w:val="21"/>
          <w:highlight w:val="none"/>
          <w:lang w:val="en-US" w:eastAsia="zh-CN" w:bidi="ar-SA"/>
        </w:rPr>
      </w:pPr>
      <w:r>
        <w:rPr>
          <w:rFonts w:hint="eastAsia" w:cstheme="minorBidi"/>
          <w:color w:val="auto"/>
          <w:sz w:val="21"/>
          <w:szCs w:val="21"/>
          <w:highlight w:val="none"/>
          <w:lang w:val="en-US" w:eastAsia="zh-CN" w:bidi="ar-SA"/>
        </w:rPr>
        <w:t>3、</w:t>
      </w:r>
      <w:r>
        <w:rPr>
          <w:rFonts w:hint="eastAsia" w:ascii="宋体" w:hAnsi="宋体" w:eastAsia="宋体" w:cstheme="minorBidi"/>
          <w:color w:val="auto"/>
          <w:sz w:val="21"/>
          <w:szCs w:val="21"/>
          <w:highlight w:val="none"/>
          <w:lang w:val="en-US" w:eastAsia="zh-CN" w:bidi="ar-SA"/>
        </w:rPr>
        <w:t>若投标人属于《政府采购促进中小企业发展管理办法》的通知（财库〔2020〕46号）的第四条规定中享受中小企业扶持政策的情况，应在《中小企业声明函》中完整如实列出项目标的具体情况。若发现因提供虚假材料或者提供材料不齐全导致的一切后果由投标人自行承担责任。（如不属于上述情况，则无需提供此表）</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theme="minorBidi"/>
          <w:color w:val="auto"/>
          <w:sz w:val="21"/>
          <w:szCs w:val="21"/>
          <w:highlight w:val="none"/>
          <w:lang w:val="en-US" w:eastAsia="zh-CN" w:bidi="ar-SA"/>
        </w:rPr>
      </w:pPr>
      <w:r>
        <w:rPr>
          <w:rFonts w:hint="eastAsia" w:ascii="宋体" w:hAnsi="宋体" w:eastAsia="宋体" w:cstheme="minorBidi"/>
          <w:color w:val="auto"/>
          <w:sz w:val="21"/>
          <w:szCs w:val="21"/>
          <w:highlight w:val="none"/>
          <w:lang w:val="en-US" w:eastAsia="zh-CN" w:bidi="ar-SA"/>
        </w:rPr>
        <w:t>4、依据规定享受扶持政策获得政府采购合同的，小微企业不得将合同分包给大中型企业，中型企业不得将合同分包给大型企业。</w:t>
      </w:r>
    </w:p>
    <w:p>
      <w:pPr>
        <w:rPr>
          <w:rFonts w:ascii="楷体_GB2312" w:eastAsia="楷体_GB2312"/>
          <w:color w:val="auto"/>
          <w:sz w:val="24"/>
          <w:highlight w:val="none"/>
        </w:rPr>
      </w:pPr>
    </w:p>
    <w:p>
      <w:pPr>
        <w:adjustRightInd/>
        <w:snapToGrid/>
        <w:spacing w:line="276" w:lineRule="auto"/>
        <w:rPr>
          <w:rFonts w:ascii="楷体_GB2312" w:eastAsia="楷体_GB2312" w:hAnsiTheme="majorHAnsi" w:cstheme="majorBidi"/>
          <w:b/>
          <w:bCs/>
          <w:color w:val="auto"/>
          <w:sz w:val="24"/>
          <w:szCs w:val="28"/>
          <w:highlight w:val="none"/>
        </w:rPr>
      </w:pPr>
      <w:r>
        <w:rPr>
          <w:rFonts w:ascii="楷体_GB2312" w:eastAsia="楷体_GB2312"/>
          <w:color w:val="auto"/>
          <w:sz w:val="24"/>
          <w:highlight w:val="none"/>
        </w:rPr>
        <w:br w:type="page"/>
      </w:r>
    </w:p>
    <w:p>
      <w:pPr>
        <w:pStyle w:val="5"/>
        <w:widowControl w:val="0"/>
        <w:overflowPunct w:val="0"/>
        <w:spacing w:before="0" w:after="0" w:line="240" w:lineRule="auto"/>
        <w:rPr>
          <w:rFonts w:ascii="楷体_GB2312" w:eastAsia="楷体_GB2312"/>
          <w:color w:val="auto"/>
          <w:sz w:val="24"/>
          <w:highlight w:val="none"/>
        </w:rPr>
      </w:pPr>
      <w:bookmarkStart w:id="156" w:name="_Toc11132"/>
      <w:r>
        <w:rPr>
          <w:rFonts w:hint="eastAsia" w:ascii="宋体" w:hAnsi="宋体" w:eastAsia="宋体"/>
          <w:color w:val="auto"/>
          <w:sz w:val="21"/>
          <w:szCs w:val="21"/>
          <w:highlight w:val="none"/>
        </w:rPr>
        <w:t>附件19.《残疾人福利性单位声明函》（残疾人福利性单位适用）</w:t>
      </w:r>
      <w:bookmarkEnd w:id="156"/>
    </w:p>
    <w:p>
      <w:pPr>
        <w:jc w:val="cente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残疾人福利性单位声明函</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本单位对上述声明的真实性负责。如有虚假，将依法承担相应责任。</w:t>
      </w:r>
    </w:p>
    <w:p>
      <w:pPr>
        <w:spacing w:after="0" w:line="480" w:lineRule="auto"/>
        <w:jc w:val="right"/>
        <w:rPr>
          <w:rFonts w:ascii="宋体" w:hAnsi="宋体" w:eastAsia="宋体"/>
          <w:color w:val="auto"/>
          <w:sz w:val="21"/>
          <w:szCs w:val="21"/>
          <w:highlight w:val="none"/>
        </w:rPr>
      </w:pPr>
    </w:p>
    <w:p>
      <w:pPr>
        <w:spacing w:after="0" w:line="480" w:lineRule="auto"/>
        <w:jc w:val="right"/>
        <w:rPr>
          <w:rFonts w:ascii="宋体" w:hAnsi="宋体" w:eastAsia="宋体"/>
          <w:color w:val="auto"/>
          <w:sz w:val="21"/>
          <w:szCs w:val="21"/>
          <w:highlight w:val="none"/>
        </w:rPr>
      </w:pPr>
      <w:r>
        <w:rPr>
          <w:rFonts w:hint="eastAsia" w:ascii="宋体" w:hAnsi="宋体" w:eastAsia="宋体"/>
          <w:color w:val="auto"/>
          <w:sz w:val="21"/>
          <w:szCs w:val="21"/>
          <w:highlight w:val="none"/>
        </w:rPr>
        <w:t>单位名称（盖章）：</w:t>
      </w:r>
      <w:bookmarkStart w:id="157" w:name="_Toc509844825"/>
      <w:bookmarkStart w:id="158" w:name="_Toc30247"/>
      <w:bookmarkStart w:id="159" w:name="_Toc17761"/>
      <w:bookmarkStart w:id="160" w:name="_Toc509927455"/>
      <w:bookmarkStart w:id="161" w:name="_Toc30277"/>
      <w:bookmarkStart w:id="162" w:name="_Toc508960153"/>
      <w:bookmarkStart w:id="163" w:name="_Toc509479530"/>
      <w:bookmarkStart w:id="164" w:name="_Toc22970"/>
      <w:bookmarkStart w:id="165" w:name="_Toc508898066"/>
      <w:bookmarkStart w:id="166" w:name="_Toc20910"/>
      <w:bookmarkStart w:id="167" w:name="_Toc510171693"/>
      <w:bookmarkStart w:id="168" w:name="_Toc508958703"/>
    </w:p>
    <w:p>
      <w:pPr>
        <w:spacing w:after="0" w:line="480" w:lineRule="auto"/>
        <w:jc w:val="right"/>
        <w:rPr>
          <w:rFonts w:ascii="宋体" w:hAnsi="宋体" w:eastAsia="宋体"/>
          <w:color w:val="auto"/>
          <w:sz w:val="21"/>
          <w:szCs w:val="21"/>
          <w:highlight w:val="none"/>
        </w:rPr>
      </w:pPr>
    </w:p>
    <w:p>
      <w:pPr>
        <w:spacing w:after="0" w:line="480" w:lineRule="auto"/>
        <w:jc w:val="right"/>
        <w:rPr>
          <w:rFonts w:ascii="宋体" w:hAnsi="宋体" w:eastAsia="宋体"/>
          <w:color w:val="auto"/>
          <w:sz w:val="21"/>
          <w:szCs w:val="21"/>
          <w:highlight w:val="none"/>
        </w:rPr>
      </w:pPr>
      <w:r>
        <w:rPr>
          <w:rFonts w:hint="eastAsia" w:ascii="宋体" w:hAnsi="宋体" w:eastAsia="宋体"/>
          <w:color w:val="auto"/>
          <w:sz w:val="21"/>
          <w:szCs w:val="21"/>
          <w:highlight w:val="none"/>
        </w:rPr>
        <w:t>日  期：</w:t>
      </w:r>
      <w:bookmarkEnd w:id="157"/>
      <w:bookmarkEnd w:id="158"/>
      <w:bookmarkEnd w:id="159"/>
      <w:bookmarkEnd w:id="160"/>
      <w:bookmarkEnd w:id="161"/>
      <w:bookmarkEnd w:id="162"/>
      <w:bookmarkEnd w:id="163"/>
      <w:bookmarkEnd w:id="164"/>
      <w:bookmarkEnd w:id="165"/>
      <w:bookmarkEnd w:id="166"/>
      <w:bookmarkEnd w:id="167"/>
      <w:bookmarkEnd w:id="168"/>
    </w:p>
    <w:p>
      <w:pPr>
        <w:pStyle w:val="2"/>
        <w:rPr>
          <w:color w:val="auto"/>
          <w:highlight w:val="none"/>
        </w:rPr>
      </w:pPr>
    </w:p>
    <w:p>
      <w:pPr>
        <w:spacing w:after="0" w:line="480" w:lineRule="auto"/>
        <w:ind w:firstLine="420" w:firstLineChars="200"/>
        <w:rPr>
          <w:rFonts w:ascii="宋体" w:hAnsi="宋体" w:eastAsia="宋体"/>
          <w:color w:val="auto"/>
          <w:sz w:val="21"/>
          <w:szCs w:val="21"/>
          <w:highlight w:val="none"/>
        </w:rPr>
      </w:pPr>
      <w:bookmarkStart w:id="169" w:name="_Toc28527"/>
      <w:bookmarkStart w:id="170" w:name="_Toc509844826"/>
      <w:bookmarkStart w:id="171" w:name="_Toc509479531"/>
      <w:bookmarkStart w:id="172" w:name="_Toc26216"/>
      <w:bookmarkStart w:id="173" w:name="_Toc508898067"/>
      <w:bookmarkStart w:id="174" w:name="_Toc5447"/>
      <w:bookmarkStart w:id="175" w:name="_Toc21053"/>
      <w:bookmarkStart w:id="176" w:name="_Toc31520"/>
      <w:bookmarkStart w:id="177" w:name="_Toc509927456"/>
      <w:bookmarkStart w:id="178" w:name="_Toc508960154"/>
      <w:bookmarkStart w:id="179" w:name="_Toc510171694"/>
      <w:bookmarkStart w:id="180" w:name="_Toc508958704"/>
      <w:r>
        <w:rPr>
          <w:rFonts w:hint="eastAsia" w:ascii="宋体" w:hAnsi="宋体" w:eastAsia="宋体"/>
          <w:color w:val="auto"/>
          <w:sz w:val="21"/>
          <w:szCs w:val="21"/>
          <w:highlight w:val="none"/>
        </w:rPr>
        <w:t>注：（1）符合《财政部 民政部 中国残疾人联合会关于促进残疾人就业政府采购政策的通知》（财库〔2017〕 141号）规定条件的残疾人福利性单位应当提供《残疾人福利性单位声明函》。</w:t>
      </w:r>
      <w:bookmarkEnd w:id="169"/>
      <w:bookmarkEnd w:id="170"/>
      <w:bookmarkEnd w:id="171"/>
      <w:bookmarkEnd w:id="172"/>
      <w:bookmarkEnd w:id="173"/>
      <w:bookmarkEnd w:id="174"/>
      <w:bookmarkEnd w:id="175"/>
      <w:bookmarkEnd w:id="176"/>
      <w:bookmarkEnd w:id="177"/>
      <w:bookmarkEnd w:id="178"/>
      <w:bookmarkEnd w:id="179"/>
      <w:bookmarkEnd w:id="180"/>
    </w:p>
    <w:p>
      <w:pPr>
        <w:spacing w:after="0" w:line="480" w:lineRule="auto"/>
        <w:ind w:firstLine="420" w:firstLineChars="200"/>
        <w:rPr>
          <w:rFonts w:ascii="宋体" w:hAnsi="宋体" w:eastAsia="宋体"/>
          <w:color w:val="auto"/>
          <w:sz w:val="21"/>
          <w:szCs w:val="21"/>
          <w:highlight w:val="none"/>
        </w:rPr>
      </w:pPr>
      <w:bookmarkStart w:id="181" w:name="_Toc509479532"/>
      <w:bookmarkStart w:id="182" w:name="_Toc28126"/>
      <w:bookmarkStart w:id="183" w:name="_Toc14653"/>
      <w:bookmarkStart w:id="184" w:name="_Toc28626"/>
      <w:bookmarkStart w:id="185" w:name="_Toc510171695"/>
      <w:bookmarkStart w:id="186" w:name="_Toc9148"/>
      <w:bookmarkStart w:id="187" w:name="_Toc509927457"/>
      <w:bookmarkStart w:id="188" w:name="_Toc508898068"/>
      <w:bookmarkStart w:id="189" w:name="_Toc508958705"/>
      <w:bookmarkStart w:id="190" w:name="_Toc509844827"/>
      <w:bookmarkStart w:id="191" w:name="_Toc24848"/>
      <w:bookmarkStart w:id="192" w:name="_Toc508960155"/>
      <w:r>
        <w:rPr>
          <w:rFonts w:hint="eastAsia" w:ascii="宋体" w:hAnsi="宋体" w:eastAsia="宋体"/>
          <w:color w:val="auto"/>
          <w:sz w:val="21"/>
          <w:szCs w:val="21"/>
          <w:highlight w:val="none"/>
        </w:rPr>
        <w:t>（2）中标人为残疾人福利性单位的，采购代理机构将随中标结果同时公告其《残疾人福利性单位声明函》，接受社会监督。</w:t>
      </w:r>
      <w:bookmarkEnd w:id="181"/>
      <w:bookmarkEnd w:id="182"/>
      <w:bookmarkEnd w:id="183"/>
      <w:bookmarkEnd w:id="184"/>
      <w:bookmarkEnd w:id="185"/>
      <w:bookmarkEnd w:id="186"/>
      <w:bookmarkEnd w:id="187"/>
      <w:bookmarkEnd w:id="188"/>
      <w:bookmarkEnd w:id="189"/>
      <w:bookmarkEnd w:id="190"/>
      <w:bookmarkEnd w:id="191"/>
      <w:bookmarkEnd w:id="192"/>
    </w:p>
    <w:p>
      <w:pPr>
        <w:spacing w:after="0" w:line="480" w:lineRule="auto"/>
        <w:ind w:firstLine="420" w:firstLineChars="200"/>
        <w:rPr>
          <w:rFonts w:ascii="宋体" w:hAnsi="宋体" w:eastAsia="宋体"/>
          <w:color w:val="auto"/>
          <w:sz w:val="21"/>
          <w:szCs w:val="21"/>
          <w:highlight w:val="none"/>
        </w:rPr>
      </w:pPr>
      <w:bookmarkStart w:id="193" w:name="_Toc509927458"/>
      <w:bookmarkStart w:id="194" w:name="_Toc508958706"/>
      <w:bookmarkStart w:id="195" w:name="_Toc509844828"/>
      <w:bookmarkStart w:id="196" w:name="_Toc508960156"/>
      <w:bookmarkStart w:id="197" w:name="_Toc28044"/>
      <w:bookmarkStart w:id="198" w:name="_Toc509479533"/>
      <w:bookmarkStart w:id="199" w:name="_Toc508898069"/>
      <w:bookmarkStart w:id="200" w:name="_Toc7858"/>
      <w:bookmarkStart w:id="201" w:name="_Toc28686"/>
      <w:bookmarkStart w:id="202" w:name="_Toc510171696"/>
      <w:bookmarkStart w:id="203" w:name="_Toc22981"/>
      <w:bookmarkStart w:id="204" w:name="_Toc9837"/>
      <w:r>
        <w:rPr>
          <w:rFonts w:hint="eastAsia" w:ascii="宋体" w:hAnsi="宋体" w:eastAsia="宋体"/>
          <w:color w:val="auto"/>
          <w:sz w:val="21"/>
          <w:szCs w:val="21"/>
          <w:highlight w:val="none"/>
        </w:rPr>
        <w:t>（3）投标人提供的《残疾人福利性单位声明函》与事实不符的，依照《政府采购法》第七十七条第一款的规定追究法律责任。</w:t>
      </w:r>
      <w:bookmarkEnd w:id="193"/>
      <w:bookmarkEnd w:id="194"/>
      <w:bookmarkEnd w:id="195"/>
      <w:bookmarkEnd w:id="196"/>
      <w:bookmarkEnd w:id="197"/>
      <w:bookmarkEnd w:id="198"/>
      <w:bookmarkEnd w:id="199"/>
      <w:bookmarkEnd w:id="200"/>
      <w:bookmarkEnd w:id="201"/>
      <w:bookmarkEnd w:id="202"/>
      <w:bookmarkEnd w:id="203"/>
      <w:bookmarkEnd w:id="204"/>
    </w:p>
    <w:p>
      <w:pPr>
        <w:spacing w:after="0" w:line="480" w:lineRule="auto"/>
        <w:ind w:firstLine="420" w:firstLineChars="200"/>
        <w:rPr>
          <w:rFonts w:ascii="宋体" w:hAnsi="宋体" w:eastAsia="宋体"/>
          <w:color w:val="auto"/>
          <w:sz w:val="21"/>
          <w:szCs w:val="21"/>
          <w:highlight w:val="none"/>
        </w:rPr>
      </w:pPr>
      <w:bookmarkStart w:id="205" w:name="_Toc509479534"/>
      <w:bookmarkStart w:id="206" w:name="_Toc509927459"/>
      <w:bookmarkStart w:id="207" w:name="_Toc510171697"/>
      <w:bookmarkStart w:id="208" w:name="_Toc509844829"/>
      <w:bookmarkStart w:id="209" w:name="_Toc18843"/>
      <w:bookmarkStart w:id="210" w:name="_Toc508960157"/>
      <w:bookmarkStart w:id="211" w:name="_Toc5289"/>
      <w:bookmarkStart w:id="212" w:name="_Toc508898070"/>
      <w:bookmarkStart w:id="213" w:name="_Toc508958707"/>
      <w:r>
        <w:rPr>
          <w:rFonts w:hint="eastAsia" w:ascii="宋体" w:hAnsi="宋体" w:eastAsia="宋体"/>
          <w:color w:val="auto"/>
          <w:sz w:val="21"/>
          <w:szCs w:val="21"/>
          <w:highlight w:val="none"/>
        </w:rPr>
        <w:t>（4）残疾人福利性单位视同小型、微型企业，享受评审中价格扣除。残疾人福利性单位属于小型、微型企业的，不重复享受政策。</w:t>
      </w:r>
      <w:bookmarkEnd w:id="205"/>
      <w:bookmarkEnd w:id="206"/>
      <w:bookmarkEnd w:id="207"/>
      <w:bookmarkEnd w:id="208"/>
      <w:bookmarkEnd w:id="209"/>
      <w:bookmarkEnd w:id="210"/>
      <w:bookmarkEnd w:id="211"/>
      <w:bookmarkEnd w:id="212"/>
      <w:bookmarkEnd w:id="213"/>
    </w:p>
    <w:p>
      <w:pPr>
        <w:adjustRightInd/>
        <w:snapToGrid/>
        <w:spacing w:line="276"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br w:type="page"/>
      </w:r>
    </w:p>
    <w:p>
      <w:pPr>
        <w:pStyle w:val="5"/>
        <w:widowControl w:val="0"/>
        <w:overflowPunct w:val="0"/>
        <w:spacing w:before="0" w:after="0" w:line="240" w:lineRule="auto"/>
        <w:rPr>
          <w:color w:val="auto"/>
          <w:highlight w:val="none"/>
        </w:rPr>
      </w:pPr>
      <w:bookmarkStart w:id="214" w:name="_Toc17460"/>
      <w:r>
        <w:rPr>
          <w:rFonts w:hint="eastAsia" w:ascii="宋体" w:hAnsi="宋体" w:eastAsia="宋体"/>
          <w:color w:val="auto"/>
          <w:sz w:val="21"/>
          <w:szCs w:val="21"/>
          <w:highlight w:val="none"/>
        </w:rPr>
        <w:t>附件20. 投标保证金汇入情况说明格式</w:t>
      </w:r>
      <w:bookmarkEnd w:id="214"/>
    </w:p>
    <w:p>
      <w:pP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投标保证金汇入情况说明</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致：</w:t>
      </w:r>
      <w:r>
        <w:rPr>
          <w:rFonts w:hint="eastAsia" w:ascii="宋体" w:hAnsi="宋体" w:eastAsia="宋体"/>
          <w:color w:val="auto"/>
          <w:sz w:val="21"/>
          <w:szCs w:val="21"/>
          <w:highlight w:val="none"/>
          <w:lang w:eastAsia="zh-CN"/>
        </w:rPr>
        <w:t>三方诚信招标有限公司</w:t>
      </w:r>
      <w:r>
        <w:rPr>
          <w:rFonts w:hint="eastAsia" w:ascii="宋体" w:hAnsi="宋体" w:eastAsia="宋体"/>
          <w:color w:val="auto"/>
          <w:sz w:val="21"/>
          <w:szCs w:val="21"/>
          <w:highlight w:val="none"/>
        </w:rPr>
        <w:t>东莞分公司：</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本单位已按</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项目</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包（</w:t>
      </w:r>
      <w:r>
        <w:rPr>
          <w:rFonts w:hint="eastAsia" w:ascii="宋体" w:hAnsi="宋体" w:eastAsia="宋体"/>
          <w:color w:val="auto"/>
          <w:sz w:val="21"/>
          <w:szCs w:val="21"/>
          <w:highlight w:val="none"/>
          <w:lang w:eastAsia="zh-CN"/>
        </w:rPr>
        <w:t>采购项目编号</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）的招标文件要求，于</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日前以</w:t>
      </w:r>
      <w:r>
        <w:rPr>
          <w:rFonts w:hint="eastAsia" w:ascii="宋体" w:hAnsi="宋体" w:eastAsia="宋体"/>
          <w:color w:val="auto"/>
          <w:sz w:val="21"/>
          <w:szCs w:val="21"/>
          <w:highlight w:val="none"/>
          <w:u w:val="single"/>
        </w:rPr>
        <w:t xml:space="preserve">           （付款形式）</w:t>
      </w:r>
      <w:r>
        <w:rPr>
          <w:rFonts w:hint="eastAsia" w:ascii="宋体" w:hAnsi="宋体" w:eastAsia="宋体"/>
          <w:color w:val="auto"/>
          <w:sz w:val="21"/>
          <w:szCs w:val="21"/>
          <w:highlight w:val="none"/>
        </w:rPr>
        <w:t>方式汇入指定帐户（帐户名称：</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，帐号：</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 ,开户银行：</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本单位投标保证金的汇款情况：（详见附件－投标保证金进帐单）</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汇出时间：</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年</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日；</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汇款金额：（大写）人民币</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元（小写：￥</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元），</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汇款帐户名称：</w:t>
      </w:r>
      <w:r>
        <w:rPr>
          <w:rFonts w:hint="eastAsia" w:ascii="宋体" w:hAnsi="宋体" w:eastAsia="宋体"/>
          <w:color w:val="auto"/>
          <w:sz w:val="21"/>
          <w:szCs w:val="21"/>
          <w:highlight w:val="none"/>
          <w:u w:val="single"/>
        </w:rPr>
        <w:t xml:space="preserve">  （必须是投标时使用的帐户名）   </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帐        号：</w:t>
      </w:r>
      <w:r>
        <w:rPr>
          <w:rFonts w:hint="eastAsia" w:ascii="宋体" w:hAnsi="宋体" w:eastAsia="宋体"/>
          <w:color w:val="auto"/>
          <w:sz w:val="21"/>
          <w:szCs w:val="21"/>
          <w:highlight w:val="none"/>
          <w:u w:val="single"/>
        </w:rPr>
        <w:t xml:space="preserve">  （必须是投标时使用的帐号）     </w:t>
      </w:r>
    </w:p>
    <w:p>
      <w:pPr>
        <w:spacing w:after="0" w:line="480" w:lineRule="auto"/>
        <w:ind w:firstLine="420" w:firstLineChars="200"/>
        <w:rPr>
          <w:rFonts w:ascii="宋体" w:hAnsi="宋体" w:eastAsia="宋体"/>
          <w:color w:val="auto"/>
          <w:sz w:val="21"/>
          <w:szCs w:val="21"/>
          <w:highlight w:val="none"/>
          <w:u w:val="single"/>
        </w:rPr>
      </w:pPr>
      <w:r>
        <w:rPr>
          <w:rFonts w:hint="eastAsia" w:ascii="宋体" w:hAnsi="宋体" w:eastAsia="宋体"/>
          <w:color w:val="auto"/>
          <w:sz w:val="21"/>
          <w:szCs w:val="21"/>
          <w:highlight w:val="none"/>
        </w:rPr>
        <w:t>开 户  银 行：</w:t>
      </w:r>
      <w:r>
        <w:rPr>
          <w:rFonts w:hint="eastAsia" w:ascii="宋体" w:hAnsi="宋体" w:eastAsia="宋体"/>
          <w:color w:val="auto"/>
          <w:sz w:val="21"/>
          <w:szCs w:val="21"/>
          <w:highlight w:val="none"/>
          <w:u w:val="single"/>
        </w:rPr>
        <w:t xml:space="preserve">  （      银行   分行  支行    ）</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本单位谨承诺上述资料是正确、真实的，如因上述证明与事实不符导致的一切损失，本单位保证承担赔偿等一切法律责任。</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投标保证金退回时，请按上述资料退回。</w:t>
      </w:r>
    </w:p>
    <w:p>
      <w:pPr>
        <w:spacing w:after="0" w:line="480" w:lineRule="auto"/>
        <w:ind w:right="884" w:rightChars="402"/>
        <w:jc w:val="right"/>
        <w:rPr>
          <w:rFonts w:ascii="宋体" w:hAnsi="宋体" w:eastAsia="宋体"/>
          <w:color w:val="auto"/>
          <w:sz w:val="21"/>
          <w:szCs w:val="21"/>
          <w:highlight w:val="none"/>
        </w:rPr>
      </w:pPr>
      <w:r>
        <w:rPr>
          <w:rFonts w:hint="eastAsia" w:ascii="宋体" w:hAnsi="宋体" w:eastAsia="宋体"/>
          <w:color w:val="auto"/>
          <w:sz w:val="21"/>
          <w:szCs w:val="21"/>
          <w:highlight w:val="none"/>
        </w:rPr>
        <w:t>（单位公章）</w:t>
      </w:r>
    </w:p>
    <w:p>
      <w:pPr>
        <w:spacing w:after="0" w:line="480" w:lineRule="auto"/>
        <w:ind w:right="658" w:rightChars="299"/>
        <w:jc w:val="right"/>
        <w:rPr>
          <w:rFonts w:ascii="宋体" w:hAnsi="宋体" w:eastAsia="宋体"/>
          <w:color w:val="auto"/>
          <w:sz w:val="21"/>
          <w:szCs w:val="21"/>
          <w:highlight w:val="none"/>
        </w:rPr>
      </w:pPr>
      <w:r>
        <w:rPr>
          <w:rFonts w:hint="eastAsia" w:ascii="宋体" w:hAnsi="宋体" w:eastAsia="宋体"/>
          <w:color w:val="auto"/>
          <w:sz w:val="21"/>
          <w:szCs w:val="21"/>
          <w:highlight w:val="none"/>
        </w:rPr>
        <w:t>年 月 日</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单位名称：</w:t>
      </w:r>
      <w:r>
        <w:rPr>
          <w:rFonts w:hint="eastAsia" w:ascii="宋体" w:hAnsi="宋体" w:eastAsia="宋体"/>
          <w:color w:val="auto"/>
          <w:sz w:val="21"/>
          <w:szCs w:val="21"/>
          <w:highlight w:val="none"/>
          <w:u w:val="single"/>
        </w:rPr>
        <w:t xml:space="preserve">           </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单位地址：</w:t>
      </w:r>
      <w:r>
        <w:rPr>
          <w:rFonts w:hint="eastAsia" w:ascii="宋体" w:hAnsi="宋体" w:eastAsia="宋体"/>
          <w:color w:val="auto"/>
          <w:sz w:val="21"/>
          <w:szCs w:val="21"/>
          <w:highlight w:val="none"/>
          <w:u w:val="single"/>
        </w:rPr>
        <w:t xml:space="preserve">           </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联系人：</w:t>
      </w:r>
      <w:r>
        <w:rPr>
          <w:rFonts w:hint="eastAsia" w:ascii="宋体" w:hAnsi="宋体" w:eastAsia="宋体"/>
          <w:color w:val="auto"/>
          <w:sz w:val="21"/>
          <w:szCs w:val="21"/>
          <w:highlight w:val="none"/>
          <w:u w:val="single"/>
        </w:rPr>
        <w:t xml:space="preserve">                   </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单位电话：</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 联系人手机：</w:t>
      </w:r>
      <w:r>
        <w:rPr>
          <w:rFonts w:hint="eastAsia" w:ascii="宋体" w:hAnsi="宋体" w:eastAsia="宋体"/>
          <w:color w:val="auto"/>
          <w:sz w:val="21"/>
          <w:szCs w:val="21"/>
          <w:highlight w:val="none"/>
          <w:u w:val="single"/>
        </w:rPr>
        <w:t xml:space="preserve">              </w:t>
      </w:r>
    </w:p>
    <w:p>
      <w:pPr>
        <w:spacing w:after="0"/>
        <w:rPr>
          <w:rFonts w:ascii="宋体" w:hAnsi="宋体" w:eastAsia="宋体"/>
          <w:color w:val="auto"/>
          <w:sz w:val="21"/>
          <w:szCs w:val="21"/>
          <w:highlight w:val="none"/>
        </w:rPr>
      </w:pPr>
    </w:p>
    <w:p>
      <w:pPr>
        <w:spacing w:after="0" w:line="38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spacing w:after="0" w:line="38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附：我方投标保证金汇款凭证</w:t>
      </w:r>
    </w:p>
    <w:tbl>
      <w:tblPr>
        <w:tblStyle w:val="18"/>
        <w:tblW w:w="8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9" w:hRule="atLeast"/>
        </w:trPr>
        <w:tc>
          <w:tcPr>
            <w:tcW w:w="8953" w:type="dxa"/>
            <w:vAlign w:val="center"/>
          </w:tcPr>
          <w:p>
            <w:pPr>
              <w:tabs>
                <w:tab w:val="left" w:pos="3885"/>
              </w:tabs>
              <w:spacing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（粘贴汇款单或转账</w:t>
            </w:r>
            <w:r>
              <w:rPr>
                <w:rFonts w:ascii="宋体" w:hAnsi="宋体" w:eastAsia="宋体"/>
                <w:color w:val="auto"/>
                <w:sz w:val="21"/>
                <w:szCs w:val="21"/>
                <w:highlight w:val="none"/>
              </w:rPr>
              <w:t>凭证</w:t>
            </w:r>
            <w:r>
              <w:rPr>
                <w:rFonts w:hint="eastAsia" w:ascii="宋体" w:hAnsi="宋体" w:eastAsia="宋体"/>
                <w:color w:val="auto"/>
                <w:sz w:val="21"/>
                <w:szCs w:val="21"/>
                <w:highlight w:val="none"/>
              </w:rPr>
              <w:t>复印件，并在骑缝上加盖投标人公章，或是直接把转账</w:t>
            </w:r>
            <w:r>
              <w:rPr>
                <w:rFonts w:ascii="宋体" w:hAnsi="宋体" w:eastAsia="宋体"/>
                <w:color w:val="auto"/>
                <w:sz w:val="21"/>
                <w:szCs w:val="21"/>
                <w:highlight w:val="none"/>
              </w:rPr>
              <w:t>凭证</w:t>
            </w:r>
            <w:r>
              <w:rPr>
                <w:rFonts w:hint="eastAsia" w:ascii="宋体" w:hAnsi="宋体" w:eastAsia="宋体"/>
                <w:color w:val="auto"/>
                <w:sz w:val="21"/>
                <w:szCs w:val="21"/>
                <w:highlight w:val="none"/>
              </w:rPr>
              <w:t>复印到此张纸上）</w:t>
            </w:r>
          </w:p>
        </w:tc>
      </w:tr>
    </w:tbl>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注：此表既要装订在投标文件中，又要按投标人须知的规定与开标一览表、投标保证金汇款底单复印件及授权委托书一同密封装入开标文件，开标文件单独提交。</w:t>
      </w:r>
    </w:p>
    <w:p>
      <w:pPr>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5"/>
        <w:keepNext/>
        <w:keepLines/>
        <w:pageBreakBefore w:val="0"/>
        <w:widowControl/>
        <w:kinsoku/>
        <w:wordWrap/>
        <w:overflowPunct/>
        <w:topLinePunct w:val="0"/>
        <w:autoSpaceDE/>
        <w:autoSpaceDN/>
        <w:bidi w:val="0"/>
        <w:adjustRightInd w:val="0"/>
        <w:snapToGrid w:val="0"/>
        <w:spacing w:before="0" w:after="0" w:line="240" w:lineRule="auto"/>
        <w:textAlignment w:val="auto"/>
        <w:rPr>
          <w:rFonts w:hint="eastAsia" w:ascii="宋体" w:hAnsi="宋体" w:eastAsia="宋体" w:cs="宋体"/>
          <w:color w:val="auto"/>
          <w:sz w:val="21"/>
          <w:szCs w:val="21"/>
          <w:highlight w:val="none"/>
        </w:rPr>
      </w:pPr>
      <w:bookmarkStart w:id="215" w:name="_Toc8186"/>
      <w:r>
        <w:rPr>
          <w:rFonts w:hint="eastAsia" w:ascii="宋体" w:hAnsi="宋体" w:eastAsia="宋体" w:cs="宋体"/>
          <w:color w:val="auto"/>
          <w:sz w:val="21"/>
          <w:szCs w:val="21"/>
          <w:highlight w:val="none"/>
        </w:rPr>
        <w:t>附件2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.获取招标文件登记表</w:t>
      </w:r>
      <w:bookmarkEnd w:id="215"/>
    </w:p>
    <w:p>
      <w:pPr>
        <w:pStyle w:val="3"/>
        <w:spacing w:before="0" w:after="0" w:line="240" w:lineRule="auto"/>
        <w:jc w:val="center"/>
        <w:rPr>
          <w:rFonts w:hint="eastAsia" w:ascii="黑体" w:hAnsi="宋体"/>
          <w:color w:val="auto"/>
          <w:sz w:val="44"/>
          <w:szCs w:val="44"/>
          <w:highlight w:val="none"/>
        </w:rPr>
      </w:pPr>
      <w:bookmarkStart w:id="216" w:name="_Toc1968"/>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color w:val="auto"/>
          <w:sz w:val="36"/>
          <w:szCs w:val="36"/>
          <w:highlight w:val="none"/>
        </w:rPr>
      </w:pPr>
      <w:r>
        <w:rPr>
          <w:rFonts w:hint="eastAsia" w:ascii="黑体" w:hAnsi="黑体" w:eastAsia="黑体" w:cs="黑体"/>
          <w:color w:val="auto"/>
          <w:sz w:val="36"/>
          <w:szCs w:val="36"/>
          <w:highlight w:val="none"/>
        </w:rPr>
        <w:t>获取</w:t>
      </w:r>
      <w:r>
        <w:rPr>
          <w:rFonts w:hint="eastAsia" w:ascii="黑体" w:hAnsi="黑体" w:eastAsia="黑体" w:cs="黑体"/>
          <w:color w:val="auto"/>
          <w:sz w:val="36"/>
          <w:szCs w:val="36"/>
          <w:highlight w:val="none"/>
          <w:lang w:eastAsia="zh-CN"/>
        </w:rPr>
        <w:t>招标文件</w:t>
      </w:r>
      <w:r>
        <w:rPr>
          <w:rFonts w:hint="eastAsia" w:ascii="黑体" w:hAnsi="黑体" w:eastAsia="黑体" w:cs="黑体"/>
          <w:color w:val="auto"/>
          <w:sz w:val="36"/>
          <w:szCs w:val="36"/>
          <w:highlight w:val="none"/>
        </w:rPr>
        <w:t>登记表</w:t>
      </w:r>
      <w:bookmarkEnd w:id="216"/>
    </w:p>
    <w:tbl>
      <w:tblPr>
        <w:tblStyle w:val="19"/>
        <w:tblW w:w="852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630"/>
        <w:gridCol w:w="58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获取</w:t>
            </w:r>
            <w:r>
              <w:rPr>
                <w:rFonts w:hint="eastAsia" w:ascii="宋体" w:hAnsi="宋体" w:eastAsia="宋体" w:cs="宋体"/>
                <w:color w:val="auto"/>
                <w:sz w:val="32"/>
                <w:szCs w:val="32"/>
                <w:highlight w:val="none"/>
                <w:lang w:eastAsia="zh-CN"/>
              </w:rPr>
              <w:t>招标文件</w:t>
            </w:r>
            <w:r>
              <w:rPr>
                <w:rFonts w:hint="eastAsia" w:ascii="宋体" w:hAnsi="宋体" w:eastAsia="宋体" w:cs="宋体"/>
                <w:color w:val="auto"/>
                <w:sz w:val="32"/>
                <w:szCs w:val="32"/>
                <w:highlight w:val="none"/>
              </w:rPr>
              <w:t>时间</w:t>
            </w:r>
          </w:p>
        </w:tc>
        <w:tc>
          <w:tcPr>
            <w:tcW w:w="5898"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2021</w:t>
            </w:r>
            <w:r>
              <w:rPr>
                <w:rFonts w:hint="eastAsia" w:ascii="宋体" w:hAnsi="宋体" w:eastAsia="宋体" w:cs="宋体"/>
                <w:color w:val="auto"/>
                <w:sz w:val="32"/>
                <w:szCs w:val="32"/>
                <w:highlight w:val="none"/>
              </w:rPr>
              <w:t>年    月    日    时    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拟投标项目名称</w:t>
            </w:r>
          </w:p>
        </w:tc>
        <w:tc>
          <w:tcPr>
            <w:tcW w:w="5898"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项目编号</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项目包号</w:t>
            </w:r>
          </w:p>
        </w:tc>
        <w:tc>
          <w:tcPr>
            <w:tcW w:w="5898" w:type="dxa"/>
            <w:vAlign w:val="center"/>
          </w:tcPr>
          <w:p>
            <w:pPr>
              <w:spacing w:after="0"/>
              <w:jc w:val="center"/>
              <w:rPr>
                <w:rFonts w:hint="eastAsia" w:ascii="宋体" w:hAnsi="宋体" w:eastAsia="宋体" w:cs="宋体"/>
                <w:color w:val="auto"/>
                <w:sz w:val="32"/>
                <w:szCs w:val="32"/>
                <w:highlight w:val="none"/>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供应商联系人</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电话</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手机</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传真</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电子邮箱</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单位地址及邮编</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76"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备注</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招标文件</w:t>
            </w:r>
            <w:r>
              <w:rPr>
                <w:rFonts w:hint="eastAsia" w:ascii="宋体" w:hAnsi="宋体" w:eastAsia="宋体" w:cs="宋体"/>
                <w:color w:val="auto"/>
                <w:sz w:val="32"/>
                <w:szCs w:val="32"/>
                <w:highlight w:val="none"/>
              </w:rPr>
              <w:t>领取人签名</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招标文件</w:t>
            </w:r>
            <w:r>
              <w:rPr>
                <w:rFonts w:hint="eastAsia" w:ascii="宋体" w:hAnsi="宋体" w:eastAsia="宋体" w:cs="宋体"/>
                <w:color w:val="auto"/>
                <w:sz w:val="32"/>
                <w:szCs w:val="32"/>
                <w:highlight w:val="none"/>
              </w:rPr>
              <w:t>发售人签名</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招标文件</w:t>
            </w:r>
            <w:r>
              <w:rPr>
                <w:rFonts w:hint="eastAsia" w:ascii="宋体" w:hAnsi="宋体" w:eastAsia="宋体" w:cs="宋体"/>
                <w:color w:val="auto"/>
                <w:sz w:val="32"/>
                <w:szCs w:val="32"/>
                <w:highlight w:val="none"/>
              </w:rPr>
              <w:t>售价</w:t>
            </w:r>
          </w:p>
        </w:tc>
        <w:tc>
          <w:tcPr>
            <w:tcW w:w="5898"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人民币150元/份</w:t>
            </w:r>
          </w:p>
        </w:tc>
      </w:tr>
    </w:tbl>
    <w:p>
      <w:pPr>
        <w:rPr>
          <w:rFonts w:ascii="宋体" w:hAnsi="宋体" w:eastAsia="宋体" w:cs="宋体"/>
          <w:color w:val="auto"/>
          <w:sz w:val="21"/>
          <w:szCs w:val="21"/>
          <w:highlight w:val="none"/>
        </w:rPr>
      </w:pPr>
    </w:p>
    <w:p>
      <w:pPr>
        <w:pStyle w:val="2"/>
        <w:rPr>
          <w:color w:val="auto"/>
          <w:highlight w:val="none"/>
        </w:rPr>
      </w:pPr>
    </w:p>
    <w:sectPr>
      <w:footerReference r:id="rId6" w:type="first"/>
      <w:footerReference r:id="rId5" w:type="default"/>
      <w:pgSz w:w="11906" w:h="16838"/>
      <w:pgMar w:top="1440" w:right="1800" w:bottom="1440" w:left="1800" w:header="708" w:footer="708" w:gutter="0"/>
      <w:pgNumType w:start="1"/>
      <w:cols w:space="708" w:num="1"/>
      <w:titlePg/>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rPr>
                            <w:instrText xml:space="preserve"> </w:instrText>
                          </w:r>
                          <w:r>
                            <w:rPr>
                              <w:rFonts w:hint="eastAsia"/>
                              <w:lang w:val="en-US" w:eastAsia="zh-CN"/>
                            </w:rPr>
                            <w:instrText xml:space="preserve">=</w:instrText>
                          </w:r>
                          <w:r>
                            <w:rPr>
                              <w:rFonts w:hint="eastAsia"/>
                              <w:lang w:val="en-US" w:eastAsia="zh-CN"/>
                            </w:rPr>
                            <w:fldChar w:fldCharType="begin"/>
                          </w:r>
                          <w:r>
                            <w:rPr>
                              <w:rFonts w:hint="eastAsia"/>
                              <w:lang w:val="en-US" w:eastAsia="zh-CN"/>
                            </w:rPr>
                            <w:instrText xml:space="preserve"> </w:instrText>
                          </w:r>
                          <w:r>
                            <w:rPr>
                              <w:rFonts w:hint="eastAsia"/>
                            </w:rPr>
                            <w:instrText xml:space="preserve">NUMPAGES  \* MERGEFORMAT</w:instrText>
                          </w:r>
                          <w:r>
                            <w:rPr>
                              <w:rFonts w:hint="eastAsia"/>
                              <w:lang w:val="en-US" w:eastAsia="zh-CN"/>
                            </w:rPr>
                            <w:instrText xml:space="preserve"> </w:instrText>
                          </w:r>
                          <w:r>
                            <w:rPr>
                              <w:rFonts w:hint="eastAsia"/>
                              <w:lang w:val="en-US" w:eastAsia="zh-CN"/>
                            </w:rPr>
                            <w:fldChar w:fldCharType="end"/>
                          </w:r>
                          <w:r>
                            <w:rPr>
                              <w:rFonts w:hint="eastAsia"/>
                              <w:lang w:val="en-US" w:eastAsia="zh-CN"/>
                            </w:rPr>
                            <w:instrText xml:space="preserve">-1</w:instrText>
                          </w:r>
                          <w:r>
                            <w:rPr>
                              <w:rFonts w:hint="eastAsia"/>
                            </w:rPr>
                            <w:instrText xml:space="preserve"> </w:instrText>
                          </w:r>
                          <w:r>
                            <w:rPr>
                              <w:rFonts w:hint="eastAsia"/>
                            </w:rPr>
                            <w:fldChar w:fldCharType="separate"/>
                          </w:r>
                          <w:r>
                            <w:rPr>
                              <w:rFonts w:hint="eastAsia"/>
                            </w:rPr>
                            <w:t>62</w:t>
                          </w:r>
                          <w:r>
                            <w:rPr>
                              <w:rFonts w:hint="eastAsia"/>
                            </w:rPr>
                            <w:fldChar w:fldCharType="end"/>
                          </w:r>
                          <w:r>
                            <w:rPr>
                              <w:rFonts w:hint="eastAsia"/>
                            </w:rPr>
                            <w:t xml:space="preserve"> 页</w:t>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tpCpozAEAAJkDAAAOAAAAAAAAAAEAIAAAAB4BAABkcnMvZTJv&#10;RG9jLnhtbFBLBQYAAAAABgAGAFkBAABcBQAAAAA=&#10;">
              <v:fill on="f" focussize="0,0"/>
              <v:stroke on="f"/>
              <v:imagedata o:title=""/>
              <o:lock v:ext="edit" aspectratio="f"/>
              <v:textbox inset="0mm,0mm,0mm,0mm" style="mso-fit-shape-to-text:t;">
                <w:txbxContent>
                  <w:p>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rPr>
                      <w:instrText xml:space="preserve"> </w:instrText>
                    </w:r>
                    <w:r>
                      <w:rPr>
                        <w:rFonts w:hint="eastAsia"/>
                        <w:lang w:val="en-US" w:eastAsia="zh-CN"/>
                      </w:rPr>
                      <w:instrText xml:space="preserve">=</w:instrText>
                    </w:r>
                    <w:r>
                      <w:rPr>
                        <w:rFonts w:hint="eastAsia"/>
                        <w:lang w:val="en-US" w:eastAsia="zh-CN"/>
                      </w:rPr>
                      <w:fldChar w:fldCharType="begin"/>
                    </w:r>
                    <w:r>
                      <w:rPr>
                        <w:rFonts w:hint="eastAsia"/>
                        <w:lang w:val="en-US" w:eastAsia="zh-CN"/>
                      </w:rPr>
                      <w:instrText xml:space="preserve"> </w:instrText>
                    </w:r>
                    <w:r>
                      <w:rPr>
                        <w:rFonts w:hint="eastAsia"/>
                      </w:rPr>
                      <w:instrText xml:space="preserve">NUMPAGES  \* MERGEFORMAT</w:instrText>
                    </w:r>
                    <w:r>
                      <w:rPr>
                        <w:rFonts w:hint="eastAsia"/>
                        <w:lang w:val="en-US" w:eastAsia="zh-CN"/>
                      </w:rPr>
                      <w:instrText xml:space="preserve"> </w:instrText>
                    </w:r>
                    <w:r>
                      <w:rPr>
                        <w:rFonts w:hint="eastAsia"/>
                        <w:lang w:val="en-US" w:eastAsia="zh-CN"/>
                      </w:rPr>
                      <w:fldChar w:fldCharType="end"/>
                    </w:r>
                    <w:r>
                      <w:rPr>
                        <w:rFonts w:hint="eastAsia"/>
                        <w:lang w:val="en-US" w:eastAsia="zh-CN"/>
                      </w:rPr>
                      <w:instrText xml:space="preserve">-1</w:instrText>
                    </w:r>
                    <w:r>
                      <w:rPr>
                        <w:rFonts w:hint="eastAsia"/>
                      </w:rPr>
                      <w:instrText xml:space="preserve"> </w:instrText>
                    </w:r>
                    <w:r>
                      <w:rPr>
                        <w:rFonts w:hint="eastAsia"/>
                      </w:rPr>
                      <w:fldChar w:fldCharType="separate"/>
                    </w:r>
                    <w:r>
                      <w:rPr>
                        <w:rFonts w:hint="eastAsia"/>
                      </w:rPr>
                      <w:t>62</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lang w:val="en-US" w:eastAsia="zh-CN"/>
                            </w:rPr>
                            <w:instrText xml:space="preserve">=</w:instrText>
                          </w:r>
                          <w:r>
                            <w:rPr>
                              <w:rFonts w:hint="eastAsia"/>
                              <w:lang w:val="en-US" w:eastAsia="zh-CN"/>
                            </w:rPr>
                            <w:fldChar w:fldCharType="begin"/>
                          </w:r>
                          <w:r>
                            <w:rPr>
                              <w:rFonts w:hint="eastAsia"/>
                              <w:lang w:val="en-US" w:eastAsia="zh-CN"/>
                            </w:rPr>
                            <w:instrText xml:space="preserve"> </w:instrText>
                          </w:r>
                          <w:r>
                            <w:rPr>
                              <w:rFonts w:hint="eastAsia"/>
                            </w:rPr>
                            <w:instrText xml:space="preserve"> NUMPAGES  \* MERGEFORMAT </w:instrText>
                          </w:r>
                          <w:r>
                            <w:rPr>
                              <w:rFonts w:hint="eastAsia"/>
                              <w:lang w:val="en-US" w:eastAsia="zh-CN"/>
                            </w:rPr>
                            <w:instrText xml:space="preserve"> </w:instrText>
                          </w:r>
                          <w:r>
                            <w:rPr>
                              <w:rFonts w:hint="eastAsia"/>
                              <w:lang w:val="en-US" w:eastAsia="zh-CN"/>
                            </w:rPr>
                            <w:fldChar w:fldCharType="end"/>
                          </w:r>
                          <w:r>
                            <w:rPr>
                              <w:rFonts w:hint="eastAsia"/>
                              <w:lang w:val="en-US" w:eastAsia="zh-CN"/>
                            </w:rPr>
                            <w:instrText xml:space="preserve">-1</w:instrText>
                          </w:r>
                          <w:r>
                            <w:rPr>
                              <w:rFonts w:hint="eastAsia"/>
                            </w:rPr>
                            <w:fldChar w:fldCharType="separate"/>
                          </w:r>
                          <w:r>
                            <w:rPr>
                              <w:rFonts w:hint="eastAsia"/>
                            </w:rPr>
                            <w:t>62</w:t>
                          </w:r>
                          <w:r>
                            <w:rPr>
                              <w:rFonts w:hint="eastAsia"/>
                            </w:rPr>
                            <w:fldChar w:fldCharType="end"/>
                          </w:r>
                          <w:r>
                            <w:rPr>
                              <w:rFonts w:hint="eastAsia"/>
                            </w:rPr>
                            <w:t xml:space="preserve"> 页</w:t>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mG9hazAEAAJkDAAAOAAAAAAAAAAEAIAAAAB4BAABkcnMvZTJv&#10;RG9jLnhtbFBLBQYAAAAABgAGAFkBAABcBQAAAAA=&#10;">
              <v:fill on="f" focussize="0,0"/>
              <v:stroke on="f"/>
              <v:imagedata o:title=""/>
              <o:lock v:ext="edit" aspectratio="f"/>
              <v:textbox inset="0mm,0mm,0mm,0mm" style="mso-fit-shape-to-text:t;">
                <w:txbxContent>
                  <w:p>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lang w:val="en-US" w:eastAsia="zh-CN"/>
                      </w:rPr>
                      <w:instrText xml:space="preserve">=</w:instrText>
                    </w:r>
                    <w:r>
                      <w:rPr>
                        <w:rFonts w:hint="eastAsia"/>
                        <w:lang w:val="en-US" w:eastAsia="zh-CN"/>
                      </w:rPr>
                      <w:fldChar w:fldCharType="begin"/>
                    </w:r>
                    <w:r>
                      <w:rPr>
                        <w:rFonts w:hint="eastAsia"/>
                        <w:lang w:val="en-US" w:eastAsia="zh-CN"/>
                      </w:rPr>
                      <w:instrText xml:space="preserve"> </w:instrText>
                    </w:r>
                    <w:r>
                      <w:rPr>
                        <w:rFonts w:hint="eastAsia"/>
                      </w:rPr>
                      <w:instrText xml:space="preserve"> NUMPAGES  \* MERGEFORMAT </w:instrText>
                    </w:r>
                    <w:r>
                      <w:rPr>
                        <w:rFonts w:hint="eastAsia"/>
                        <w:lang w:val="en-US" w:eastAsia="zh-CN"/>
                      </w:rPr>
                      <w:instrText xml:space="preserve"> </w:instrText>
                    </w:r>
                    <w:r>
                      <w:rPr>
                        <w:rFonts w:hint="eastAsia"/>
                        <w:lang w:val="en-US" w:eastAsia="zh-CN"/>
                      </w:rPr>
                      <w:fldChar w:fldCharType="end"/>
                    </w:r>
                    <w:r>
                      <w:rPr>
                        <w:rFonts w:hint="eastAsia"/>
                        <w:lang w:val="en-US" w:eastAsia="zh-CN"/>
                      </w:rPr>
                      <w:instrText xml:space="preserve">-1</w:instrText>
                    </w:r>
                    <w:r>
                      <w:rPr>
                        <w:rFonts w:hint="eastAsia"/>
                      </w:rPr>
                      <w:fldChar w:fldCharType="separate"/>
                    </w:r>
                    <w:r>
                      <w:rPr>
                        <w:rFonts w:hint="eastAsia"/>
                      </w:rPr>
                      <w:t>62</w:t>
                    </w:r>
                    <w:r>
                      <w:rPr>
                        <w:rFonts w:hint="eastAsia"/>
                      </w:rPr>
                      <w:fldChar w:fldCharType="end"/>
                    </w:r>
                    <w:r>
                      <w:rPr>
                        <w:rFonts w:hint="eastAsia"/>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before="0" w:after="0"/>
      </w:pPr>
      <w:r>
        <w:separator/>
      </w:r>
    </w:p>
  </w:footnote>
  <w:footnote w:type="continuationSeparator" w:id="5">
    <w:p>
      <w:pPr>
        <w:spacing w:before="0" w:after="0"/>
      </w:pPr>
      <w:r>
        <w:continuationSeparator/>
      </w:r>
    </w:p>
  </w:footnote>
  <w:footnote w:id="0">
    <w:p>
      <w:pPr>
        <w:pStyle w:val="14"/>
        <w:snapToGrid w:val="0"/>
        <w:rPr>
          <w:rFonts w:hint="eastAsia" w:ascii="宋体" w:hAnsi="宋体" w:eastAsia="宋体" w:cs="宋体"/>
          <w:lang w:eastAsia="zh-CN"/>
        </w:rPr>
      </w:pPr>
      <w:r>
        <w:rPr>
          <w:rStyle w:val="23"/>
          <w:rFonts w:hint="eastAsia" w:ascii="宋体" w:hAnsi="宋体" w:eastAsia="宋体" w:cs="宋体"/>
        </w:rPr>
        <w:footnoteRef/>
      </w:r>
      <w:r>
        <w:rPr>
          <w:rFonts w:hint="eastAsia" w:ascii="宋体" w:hAnsi="宋体" w:eastAsia="宋体" w:cs="宋体"/>
        </w:rPr>
        <w:t xml:space="preserve"> </w:t>
      </w:r>
      <w:r>
        <w:rPr>
          <w:rFonts w:hint="eastAsia" w:ascii="宋体" w:hAnsi="宋体" w:eastAsia="宋体" w:cs="宋体"/>
          <w:lang w:eastAsia="zh-CN"/>
        </w:rPr>
        <w:t>从业人员、营业人员、资产总额填报上一年度数据，无上一年度数据的新成立企业可不填报。</w:t>
      </w:r>
    </w:p>
  </w:footnote>
  <w:footnote w:id="1">
    <w:p>
      <w:pPr>
        <w:pStyle w:val="14"/>
        <w:snapToGrid w:val="0"/>
        <w:rPr>
          <w:rFonts w:hint="eastAsia" w:ascii="宋体" w:hAnsi="宋体" w:eastAsia="宋体" w:cs="宋体"/>
        </w:rPr>
      </w:pPr>
      <w:r>
        <w:rPr>
          <w:rStyle w:val="23"/>
          <w:rFonts w:hint="eastAsia" w:ascii="宋体" w:hAnsi="宋体" w:eastAsia="宋体" w:cs="宋体"/>
        </w:rPr>
        <w:footnoteRef/>
      </w:r>
      <w:r>
        <w:rPr>
          <w:rFonts w:hint="eastAsia" w:ascii="宋体" w:hAnsi="宋体" w:eastAsia="宋体" w:cs="宋体"/>
        </w:rPr>
        <w:t xml:space="preserve">  </w:t>
      </w:r>
      <w:r>
        <w:rPr>
          <w:rFonts w:hint="eastAsia" w:ascii="宋体" w:hAnsi="宋体" w:eastAsia="宋体" w:cs="宋体"/>
          <w:lang w:eastAsia="zh-CN"/>
        </w:rPr>
        <w:t>从业人员、营业人员、资产总额填报上一年度数据，无上一年度数据的新成立企业可不填报。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pPr>
    <w:r>
      <w:rPr>
        <w:rFonts w:hint="eastAsia"/>
        <w:lang w:eastAsia="zh-CN"/>
      </w:rPr>
      <w:t>国内</w:t>
    </w:r>
    <w:r>
      <w:rPr>
        <w:rFonts w:hint="eastAsia"/>
      </w:rPr>
      <w:t>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87489"/>
    <w:multiLevelType w:val="singleLevel"/>
    <w:tmpl w:val="93587489"/>
    <w:lvl w:ilvl="0" w:tentative="0">
      <w:start w:val="1"/>
      <w:numFmt w:val="decimal"/>
      <w:suff w:val="nothing"/>
      <w:lvlText w:val="%1、"/>
      <w:lvlJc w:val="left"/>
    </w:lvl>
  </w:abstractNum>
  <w:abstractNum w:abstractNumId="1">
    <w:nsid w:val="945B29EF"/>
    <w:multiLevelType w:val="singleLevel"/>
    <w:tmpl w:val="945B29EF"/>
    <w:lvl w:ilvl="0" w:tentative="0">
      <w:start w:val="1"/>
      <w:numFmt w:val="decimal"/>
      <w:suff w:val="nothing"/>
      <w:lvlText w:val="（%1）"/>
      <w:lvlJc w:val="left"/>
    </w:lvl>
  </w:abstractNum>
  <w:abstractNum w:abstractNumId="2">
    <w:nsid w:val="CFF174A5"/>
    <w:multiLevelType w:val="singleLevel"/>
    <w:tmpl w:val="CFF174A5"/>
    <w:lvl w:ilvl="0" w:tentative="0">
      <w:start w:val="1"/>
      <w:numFmt w:val="decimal"/>
      <w:suff w:val="nothing"/>
      <w:lvlText w:val="%1、"/>
      <w:lvlJc w:val="left"/>
    </w:lvl>
  </w:abstractNum>
  <w:abstractNum w:abstractNumId="3">
    <w:nsid w:val="D0047B7E"/>
    <w:multiLevelType w:val="singleLevel"/>
    <w:tmpl w:val="D0047B7E"/>
    <w:lvl w:ilvl="0" w:tentative="0">
      <w:start w:val="1"/>
      <w:numFmt w:val="decimal"/>
      <w:suff w:val="nothing"/>
      <w:lvlText w:val="%1、"/>
      <w:lvlJc w:val="left"/>
    </w:lvl>
  </w:abstractNum>
  <w:abstractNum w:abstractNumId="4">
    <w:nsid w:val="E09EF6E1"/>
    <w:multiLevelType w:val="singleLevel"/>
    <w:tmpl w:val="E09EF6E1"/>
    <w:lvl w:ilvl="0" w:tentative="0">
      <w:start w:val="1"/>
      <w:numFmt w:val="decimal"/>
      <w:suff w:val="nothing"/>
      <w:lvlText w:val="（%1）"/>
      <w:lvlJc w:val="left"/>
    </w:lvl>
  </w:abstractNum>
  <w:abstractNum w:abstractNumId="5">
    <w:nsid w:val="00000005"/>
    <w:multiLevelType w:val="multilevel"/>
    <w:tmpl w:val="00000005"/>
    <w:lvl w:ilvl="0" w:tentative="0">
      <w:start w:val="1"/>
      <w:numFmt w:val="decimal"/>
      <w:lvlText w:val="%1."/>
      <w:lvlJc w:val="left"/>
      <w:pPr>
        <w:tabs>
          <w:tab w:val="left" w:pos="0"/>
        </w:tabs>
        <w:ind w:left="0" w:firstLine="42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3F88662E"/>
    <w:multiLevelType w:val="singleLevel"/>
    <w:tmpl w:val="3F88662E"/>
    <w:lvl w:ilvl="0" w:tentative="0">
      <w:start w:val="1"/>
      <w:numFmt w:val="decimal"/>
      <w:suff w:val="space"/>
      <w:lvlText w:val="%1)"/>
      <w:lvlJc w:val="left"/>
    </w:lvl>
  </w:abstractNum>
  <w:abstractNum w:abstractNumId="8">
    <w:nsid w:val="3F8A5608"/>
    <w:multiLevelType w:val="multilevel"/>
    <w:tmpl w:val="3F8A5608"/>
    <w:lvl w:ilvl="0" w:tentative="0">
      <w:start w:val="1"/>
      <w:numFmt w:val="decimal"/>
      <w:pStyle w:val="17"/>
      <w:lvlText w:val="%1、"/>
      <w:lvlJc w:val="left"/>
      <w:pPr>
        <w:tabs>
          <w:tab w:val="left" w:pos="420"/>
        </w:tabs>
        <w:ind w:left="840" w:hanging="420"/>
      </w:pPr>
      <w:rPr>
        <w:rFonts w:hint="eastAsia"/>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decimal"/>
      <w:lvlText w:val="%3."/>
      <w:lvlJc w:val="left"/>
      <w:pPr>
        <w:tabs>
          <w:tab w:val="left" w:pos="1745"/>
        </w:tabs>
        <w:ind w:left="1745" w:hanging="705"/>
      </w:pPr>
      <w:rPr>
        <w:rFonts w:hint="default"/>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9">
    <w:nsid w:val="580745EB"/>
    <w:multiLevelType w:val="multilevel"/>
    <w:tmpl w:val="580745E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C183DB0"/>
    <w:multiLevelType w:val="multilevel"/>
    <w:tmpl w:val="5C183DB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D1539A1"/>
    <w:multiLevelType w:val="multilevel"/>
    <w:tmpl w:val="5D1539A1"/>
    <w:lvl w:ilvl="0" w:tentative="0">
      <w:start w:val="1"/>
      <w:numFmt w:val="decimal"/>
      <w:lvlText w:val="（%1）"/>
      <w:lvlJc w:val="left"/>
      <w:pPr>
        <w:ind w:left="1287" w:hanging="7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num w:numId="1">
    <w:abstractNumId w:val="8"/>
  </w:num>
  <w:num w:numId="2">
    <w:abstractNumId w:val="1"/>
  </w:num>
  <w:num w:numId="3">
    <w:abstractNumId w:val="9"/>
  </w:num>
  <w:num w:numId="4">
    <w:abstractNumId w:val="6"/>
  </w:num>
  <w:num w:numId="5">
    <w:abstractNumId w:val="11"/>
  </w:num>
  <w:num w:numId="6">
    <w:abstractNumId w:val="7"/>
  </w:num>
  <w:num w:numId="7">
    <w:abstractNumId w:val="4"/>
  </w:num>
  <w:num w:numId="8">
    <w:abstractNumId w:val="2"/>
  </w:num>
  <w:num w:numId="9">
    <w:abstractNumId w:val="5"/>
  </w:num>
  <w:num w:numId="10">
    <w:abstractNumId w:val="0"/>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4"/>
    <w:footnote w:id="5"/>
  </w:foot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F6B"/>
    <w:rsid w:val="00006462"/>
    <w:rsid w:val="000300E4"/>
    <w:rsid w:val="0003307E"/>
    <w:rsid w:val="000336BA"/>
    <w:rsid w:val="000359A1"/>
    <w:rsid w:val="0007500F"/>
    <w:rsid w:val="0008282E"/>
    <w:rsid w:val="000A363F"/>
    <w:rsid w:val="000A42A8"/>
    <w:rsid w:val="000A5063"/>
    <w:rsid w:val="000A5DBD"/>
    <w:rsid w:val="000C4524"/>
    <w:rsid w:val="000D44A6"/>
    <w:rsid w:val="000F0E98"/>
    <w:rsid w:val="001049A5"/>
    <w:rsid w:val="001242F3"/>
    <w:rsid w:val="00134CAD"/>
    <w:rsid w:val="0013730B"/>
    <w:rsid w:val="00137853"/>
    <w:rsid w:val="00137E1C"/>
    <w:rsid w:val="00147012"/>
    <w:rsid w:val="00173126"/>
    <w:rsid w:val="00173905"/>
    <w:rsid w:val="00173E04"/>
    <w:rsid w:val="00175D29"/>
    <w:rsid w:val="001844F4"/>
    <w:rsid w:val="00185039"/>
    <w:rsid w:val="001A06D8"/>
    <w:rsid w:val="001A2D42"/>
    <w:rsid w:val="001A2EF7"/>
    <w:rsid w:val="001B41CF"/>
    <w:rsid w:val="001B5860"/>
    <w:rsid w:val="001C1135"/>
    <w:rsid w:val="001C15AE"/>
    <w:rsid w:val="001C4661"/>
    <w:rsid w:val="001C5689"/>
    <w:rsid w:val="001C6E4B"/>
    <w:rsid w:val="001F0070"/>
    <w:rsid w:val="001F4B02"/>
    <w:rsid w:val="002065A7"/>
    <w:rsid w:val="0021149E"/>
    <w:rsid w:val="00213021"/>
    <w:rsid w:val="00216BE9"/>
    <w:rsid w:val="0022503E"/>
    <w:rsid w:val="00225BB4"/>
    <w:rsid w:val="00226313"/>
    <w:rsid w:val="00240F5F"/>
    <w:rsid w:val="00247AE0"/>
    <w:rsid w:val="00260AC1"/>
    <w:rsid w:val="0026312D"/>
    <w:rsid w:val="0027078E"/>
    <w:rsid w:val="00284156"/>
    <w:rsid w:val="00285643"/>
    <w:rsid w:val="002867A1"/>
    <w:rsid w:val="002901F8"/>
    <w:rsid w:val="002B4087"/>
    <w:rsid w:val="002B5F6C"/>
    <w:rsid w:val="002C6C78"/>
    <w:rsid w:val="002D1594"/>
    <w:rsid w:val="002D3F9C"/>
    <w:rsid w:val="002D503C"/>
    <w:rsid w:val="002D7E27"/>
    <w:rsid w:val="002E17E5"/>
    <w:rsid w:val="002E6B7E"/>
    <w:rsid w:val="0030669E"/>
    <w:rsid w:val="00320CEA"/>
    <w:rsid w:val="00323B43"/>
    <w:rsid w:val="00326831"/>
    <w:rsid w:val="003274CE"/>
    <w:rsid w:val="003430F6"/>
    <w:rsid w:val="0038564C"/>
    <w:rsid w:val="00393B1D"/>
    <w:rsid w:val="003A1D97"/>
    <w:rsid w:val="003C3B19"/>
    <w:rsid w:val="003C412B"/>
    <w:rsid w:val="003C415C"/>
    <w:rsid w:val="003D36FB"/>
    <w:rsid w:val="003D37D8"/>
    <w:rsid w:val="003E2B8C"/>
    <w:rsid w:val="003F4822"/>
    <w:rsid w:val="00401CC0"/>
    <w:rsid w:val="00410F11"/>
    <w:rsid w:val="004203B9"/>
    <w:rsid w:val="004322A2"/>
    <w:rsid w:val="004358AB"/>
    <w:rsid w:val="00451EB4"/>
    <w:rsid w:val="00460B31"/>
    <w:rsid w:val="00462105"/>
    <w:rsid w:val="00475A80"/>
    <w:rsid w:val="00490B9E"/>
    <w:rsid w:val="00497577"/>
    <w:rsid w:val="004A05D7"/>
    <w:rsid w:val="004A2B28"/>
    <w:rsid w:val="004A69F1"/>
    <w:rsid w:val="004B3550"/>
    <w:rsid w:val="004D51A2"/>
    <w:rsid w:val="004D5AFB"/>
    <w:rsid w:val="004E04FD"/>
    <w:rsid w:val="004F1BB7"/>
    <w:rsid w:val="0050759C"/>
    <w:rsid w:val="005269A9"/>
    <w:rsid w:val="00546A42"/>
    <w:rsid w:val="0055408D"/>
    <w:rsid w:val="0057492D"/>
    <w:rsid w:val="00590819"/>
    <w:rsid w:val="00593D68"/>
    <w:rsid w:val="005A208B"/>
    <w:rsid w:val="005A7612"/>
    <w:rsid w:val="005C702E"/>
    <w:rsid w:val="005D01B8"/>
    <w:rsid w:val="005D066B"/>
    <w:rsid w:val="005F573A"/>
    <w:rsid w:val="005F7EB1"/>
    <w:rsid w:val="00604B81"/>
    <w:rsid w:val="00613417"/>
    <w:rsid w:val="0061545F"/>
    <w:rsid w:val="006175DE"/>
    <w:rsid w:val="006215AC"/>
    <w:rsid w:val="00621821"/>
    <w:rsid w:val="00622362"/>
    <w:rsid w:val="00622497"/>
    <w:rsid w:val="006276AD"/>
    <w:rsid w:val="006378D4"/>
    <w:rsid w:val="0064416A"/>
    <w:rsid w:val="0065365D"/>
    <w:rsid w:val="00664F6B"/>
    <w:rsid w:val="006731D2"/>
    <w:rsid w:val="00682986"/>
    <w:rsid w:val="00691701"/>
    <w:rsid w:val="00691AE0"/>
    <w:rsid w:val="0069491E"/>
    <w:rsid w:val="006B7878"/>
    <w:rsid w:val="006C14BD"/>
    <w:rsid w:val="006C28E5"/>
    <w:rsid w:val="006D393E"/>
    <w:rsid w:val="006D4AD8"/>
    <w:rsid w:val="006E0B58"/>
    <w:rsid w:val="006E0C4B"/>
    <w:rsid w:val="007110BA"/>
    <w:rsid w:val="00711465"/>
    <w:rsid w:val="00723B11"/>
    <w:rsid w:val="007343A7"/>
    <w:rsid w:val="00734BB2"/>
    <w:rsid w:val="0075028E"/>
    <w:rsid w:val="007608B9"/>
    <w:rsid w:val="007724B4"/>
    <w:rsid w:val="007916E7"/>
    <w:rsid w:val="00797C5D"/>
    <w:rsid w:val="00797D2F"/>
    <w:rsid w:val="007A34B9"/>
    <w:rsid w:val="007A6F47"/>
    <w:rsid w:val="007C4F46"/>
    <w:rsid w:val="007C7297"/>
    <w:rsid w:val="007D1B4F"/>
    <w:rsid w:val="007D2F9E"/>
    <w:rsid w:val="007D3175"/>
    <w:rsid w:val="007D48BF"/>
    <w:rsid w:val="007D5C45"/>
    <w:rsid w:val="007E2543"/>
    <w:rsid w:val="007E4A26"/>
    <w:rsid w:val="007F01B0"/>
    <w:rsid w:val="007F2CD8"/>
    <w:rsid w:val="007F4DC5"/>
    <w:rsid w:val="00806380"/>
    <w:rsid w:val="0081104F"/>
    <w:rsid w:val="00822299"/>
    <w:rsid w:val="0083486A"/>
    <w:rsid w:val="00841378"/>
    <w:rsid w:val="00842B87"/>
    <w:rsid w:val="00845BEB"/>
    <w:rsid w:val="008472E6"/>
    <w:rsid w:val="00853463"/>
    <w:rsid w:val="0086026F"/>
    <w:rsid w:val="008640F5"/>
    <w:rsid w:val="008907DA"/>
    <w:rsid w:val="008A0587"/>
    <w:rsid w:val="008B7726"/>
    <w:rsid w:val="008D429E"/>
    <w:rsid w:val="008D5A10"/>
    <w:rsid w:val="008E319F"/>
    <w:rsid w:val="008E619C"/>
    <w:rsid w:val="008F6E0E"/>
    <w:rsid w:val="00906F49"/>
    <w:rsid w:val="00914604"/>
    <w:rsid w:val="00923533"/>
    <w:rsid w:val="00930A38"/>
    <w:rsid w:val="00934170"/>
    <w:rsid w:val="00942948"/>
    <w:rsid w:val="009474B5"/>
    <w:rsid w:val="00972D86"/>
    <w:rsid w:val="009736BF"/>
    <w:rsid w:val="0097392B"/>
    <w:rsid w:val="00976066"/>
    <w:rsid w:val="00980A66"/>
    <w:rsid w:val="009904F7"/>
    <w:rsid w:val="009910F6"/>
    <w:rsid w:val="009A7058"/>
    <w:rsid w:val="009C6AD9"/>
    <w:rsid w:val="009E398C"/>
    <w:rsid w:val="009E6F05"/>
    <w:rsid w:val="00A10906"/>
    <w:rsid w:val="00A14EEF"/>
    <w:rsid w:val="00A61230"/>
    <w:rsid w:val="00A813C5"/>
    <w:rsid w:val="00A824E6"/>
    <w:rsid w:val="00A858DC"/>
    <w:rsid w:val="00A94D14"/>
    <w:rsid w:val="00AB19CE"/>
    <w:rsid w:val="00AB3969"/>
    <w:rsid w:val="00AC187B"/>
    <w:rsid w:val="00AE310E"/>
    <w:rsid w:val="00AE4FC5"/>
    <w:rsid w:val="00AF5F1F"/>
    <w:rsid w:val="00B027A4"/>
    <w:rsid w:val="00B236B3"/>
    <w:rsid w:val="00B26806"/>
    <w:rsid w:val="00B31B24"/>
    <w:rsid w:val="00B4287F"/>
    <w:rsid w:val="00B4315F"/>
    <w:rsid w:val="00B60DAB"/>
    <w:rsid w:val="00B7194E"/>
    <w:rsid w:val="00B763B0"/>
    <w:rsid w:val="00B93045"/>
    <w:rsid w:val="00BA4130"/>
    <w:rsid w:val="00BB2CAF"/>
    <w:rsid w:val="00BC3E74"/>
    <w:rsid w:val="00BD630F"/>
    <w:rsid w:val="00BD7C1B"/>
    <w:rsid w:val="00BF17FD"/>
    <w:rsid w:val="00BF41D4"/>
    <w:rsid w:val="00BF5AFB"/>
    <w:rsid w:val="00C16734"/>
    <w:rsid w:val="00C17B47"/>
    <w:rsid w:val="00C25C77"/>
    <w:rsid w:val="00C303E7"/>
    <w:rsid w:val="00C319C2"/>
    <w:rsid w:val="00C62E44"/>
    <w:rsid w:val="00C63BD8"/>
    <w:rsid w:val="00C65954"/>
    <w:rsid w:val="00C7126B"/>
    <w:rsid w:val="00C72C24"/>
    <w:rsid w:val="00C73468"/>
    <w:rsid w:val="00C80EC4"/>
    <w:rsid w:val="00C8568E"/>
    <w:rsid w:val="00CC584A"/>
    <w:rsid w:val="00CC5E4E"/>
    <w:rsid w:val="00CD0EAB"/>
    <w:rsid w:val="00CE2AF3"/>
    <w:rsid w:val="00CE621D"/>
    <w:rsid w:val="00CE66E8"/>
    <w:rsid w:val="00D05388"/>
    <w:rsid w:val="00D114CD"/>
    <w:rsid w:val="00D14476"/>
    <w:rsid w:val="00D232FF"/>
    <w:rsid w:val="00D279AA"/>
    <w:rsid w:val="00D34544"/>
    <w:rsid w:val="00D44A97"/>
    <w:rsid w:val="00D45C0C"/>
    <w:rsid w:val="00D508A5"/>
    <w:rsid w:val="00D5104B"/>
    <w:rsid w:val="00D555D8"/>
    <w:rsid w:val="00D60778"/>
    <w:rsid w:val="00D64D28"/>
    <w:rsid w:val="00D6604D"/>
    <w:rsid w:val="00D677F1"/>
    <w:rsid w:val="00D74601"/>
    <w:rsid w:val="00D83E46"/>
    <w:rsid w:val="00D847B6"/>
    <w:rsid w:val="00DA6169"/>
    <w:rsid w:val="00DB5480"/>
    <w:rsid w:val="00DB6317"/>
    <w:rsid w:val="00DC5AD9"/>
    <w:rsid w:val="00DC691F"/>
    <w:rsid w:val="00DD02DE"/>
    <w:rsid w:val="00DD07B7"/>
    <w:rsid w:val="00DD113C"/>
    <w:rsid w:val="00DE0BEB"/>
    <w:rsid w:val="00DE4856"/>
    <w:rsid w:val="00DF485B"/>
    <w:rsid w:val="00E21B77"/>
    <w:rsid w:val="00E40CAD"/>
    <w:rsid w:val="00E61D2E"/>
    <w:rsid w:val="00E62B7F"/>
    <w:rsid w:val="00E726BC"/>
    <w:rsid w:val="00E72821"/>
    <w:rsid w:val="00E81DDC"/>
    <w:rsid w:val="00E81F67"/>
    <w:rsid w:val="00E83650"/>
    <w:rsid w:val="00E83A31"/>
    <w:rsid w:val="00E97CC0"/>
    <w:rsid w:val="00EA2524"/>
    <w:rsid w:val="00EC092D"/>
    <w:rsid w:val="00EC0DF8"/>
    <w:rsid w:val="00ED378B"/>
    <w:rsid w:val="00EE08F9"/>
    <w:rsid w:val="00EF728A"/>
    <w:rsid w:val="00EF7D0D"/>
    <w:rsid w:val="00F00FF7"/>
    <w:rsid w:val="00F02093"/>
    <w:rsid w:val="00F068E3"/>
    <w:rsid w:val="00F10B5F"/>
    <w:rsid w:val="00F218C1"/>
    <w:rsid w:val="00F321EB"/>
    <w:rsid w:val="00F346CF"/>
    <w:rsid w:val="00F3610C"/>
    <w:rsid w:val="00F52A5F"/>
    <w:rsid w:val="00F55954"/>
    <w:rsid w:val="00F61962"/>
    <w:rsid w:val="00F62865"/>
    <w:rsid w:val="00F64022"/>
    <w:rsid w:val="00F64660"/>
    <w:rsid w:val="00F97062"/>
    <w:rsid w:val="00F9745D"/>
    <w:rsid w:val="00FC7B53"/>
    <w:rsid w:val="00FD48CC"/>
    <w:rsid w:val="00FE62D1"/>
    <w:rsid w:val="00FF26BF"/>
    <w:rsid w:val="018023CE"/>
    <w:rsid w:val="01881AD6"/>
    <w:rsid w:val="02A741FD"/>
    <w:rsid w:val="02C16E5D"/>
    <w:rsid w:val="02D964CF"/>
    <w:rsid w:val="03707410"/>
    <w:rsid w:val="037E51CC"/>
    <w:rsid w:val="03A0770F"/>
    <w:rsid w:val="03A448B8"/>
    <w:rsid w:val="047B4012"/>
    <w:rsid w:val="04DF1036"/>
    <w:rsid w:val="051731D3"/>
    <w:rsid w:val="05A97DEC"/>
    <w:rsid w:val="05B23978"/>
    <w:rsid w:val="05C81981"/>
    <w:rsid w:val="062F725A"/>
    <w:rsid w:val="06BC41F2"/>
    <w:rsid w:val="07197D08"/>
    <w:rsid w:val="071E5C55"/>
    <w:rsid w:val="077005AB"/>
    <w:rsid w:val="078F4581"/>
    <w:rsid w:val="07BF027F"/>
    <w:rsid w:val="07D07F2B"/>
    <w:rsid w:val="08031A31"/>
    <w:rsid w:val="09061A75"/>
    <w:rsid w:val="09182241"/>
    <w:rsid w:val="09855177"/>
    <w:rsid w:val="0AA534D5"/>
    <w:rsid w:val="0AA650EB"/>
    <w:rsid w:val="0AF47339"/>
    <w:rsid w:val="0B22594B"/>
    <w:rsid w:val="0BDF26F7"/>
    <w:rsid w:val="0C2B4952"/>
    <w:rsid w:val="0C7B2220"/>
    <w:rsid w:val="0D133046"/>
    <w:rsid w:val="0D890E47"/>
    <w:rsid w:val="0DC64A00"/>
    <w:rsid w:val="0DFC60BA"/>
    <w:rsid w:val="0E553ACE"/>
    <w:rsid w:val="0EE56797"/>
    <w:rsid w:val="0F7C5FF6"/>
    <w:rsid w:val="0FC63FBD"/>
    <w:rsid w:val="0FEE4150"/>
    <w:rsid w:val="103927A8"/>
    <w:rsid w:val="106C564D"/>
    <w:rsid w:val="107B7B8F"/>
    <w:rsid w:val="107C67CE"/>
    <w:rsid w:val="109101B1"/>
    <w:rsid w:val="109D68CB"/>
    <w:rsid w:val="10A949B8"/>
    <w:rsid w:val="11200D07"/>
    <w:rsid w:val="11DA73AF"/>
    <w:rsid w:val="12C60D80"/>
    <w:rsid w:val="131F7A3A"/>
    <w:rsid w:val="132645D0"/>
    <w:rsid w:val="13455ABC"/>
    <w:rsid w:val="135624DC"/>
    <w:rsid w:val="1370322B"/>
    <w:rsid w:val="143B2E0B"/>
    <w:rsid w:val="14892735"/>
    <w:rsid w:val="14CC769D"/>
    <w:rsid w:val="15D359D7"/>
    <w:rsid w:val="163C77BE"/>
    <w:rsid w:val="1679588C"/>
    <w:rsid w:val="16994962"/>
    <w:rsid w:val="16A71041"/>
    <w:rsid w:val="16AA24BF"/>
    <w:rsid w:val="17680CAB"/>
    <w:rsid w:val="176E4128"/>
    <w:rsid w:val="1783371F"/>
    <w:rsid w:val="17E62B67"/>
    <w:rsid w:val="180F4499"/>
    <w:rsid w:val="18221ECE"/>
    <w:rsid w:val="183C3D90"/>
    <w:rsid w:val="1A460CF5"/>
    <w:rsid w:val="1A7F297D"/>
    <w:rsid w:val="1AB16AC1"/>
    <w:rsid w:val="1B034A52"/>
    <w:rsid w:val="1B0D3B4E"/>
    <w:rsid w:val="1B6D79D0"/>
    <w:rsid w:val="1C750ECE"/>
    <w:rsid w:val="1D196139"/>
    <w:rsid w:val="1E010AF7"/>
    <w:rsid w:val="1E301173"/>
    <w:rsid w:val="1F43381C"/>
    <w:rsid w:val="1FA4148D"/>
    <w:rsid w:val="20121621"/>
    <w:rsid w:val="204E554F"/>
    <w:rsid w:val="20590035"/>
    <w:rsid w:val="20FC799E"/>
    <w:rsid w:val="21286DA7"/>
    <w:rsid w:val="21394C6D"/>
    <w:rsid w:val="21434D8C"/>
    <w:rsid w:val="22154DDD"/>
    <w:rsid w:val="22336873"/>
    <w:rsid w:val="23BB4E7D"/>
    <w:rsid w:val="23C172D6"/>
    <w:rsid w:val="23E6195D"/>
    <w:rsid w:val="23F04F64"/>
    <w:rsid w:val="24814CBE"/>
    <w:rsid w:val="24AC168B"/>
    <w:rsid w:val="254D0389"/>
    <w:rsid w:val="258C3BEC"/>
    <w:rsid w:val="25E5427A"/>
    <w:rsid w:val="25EE76C7"/>
    <w:rsid w:val="263B1230"/>
    <w:rsid w:val="27B36A67"/>
    <w:rsid w:val="2846581F"/>
    <w:rsid w:val="286602C8"/>
    <w:rsid w:val="28665C95"/>
    <w:rsid w:val="28F579BA"/>
    <w:rsid w:val="290B3EB9"/>
    <w:rsid w:val="2950768C"/>
    <w:rsid w:val="297A5FC4"/>
    <w:rsid w:val="298B384A"/>
    <w:rsid w:val="2A8D4F8F"/>
    <w:rsid w:val="2A917B34"/>
    <w:rsid w:val="2AE3766F"/>
    <w:rsid w:val="2B7E4054"/>
    <w:rsid w:val="2C987C56"/>
    <w:rsid w:val="2CE636B8"/>
    <w:rsid w:val="2CFF149A"/>
    <w:rsid w:val="2D201865"/>
    <w:rsid w:val="2D4B5CEA"/>
    <w:rsid w:val="2D652658"/>
    <w:rsid w:val="2DC80C49"/>
    <w:rsid w:val="2DCA6355"/>
    <w:rsid w:val="2E166748"/>
    <w:rsid w:val="2E556F01"/>
    <w:rsid w:val="2E8E20B4"/>
    <w:rsid w:val="2ED06066"/>
    <w:rsid w:val="2ED1223D"/>
    <w:rsid w:val="2F000139"/>
    <w:rsid w:val="2F9F42DC"/>
    <w:rsid w:val="2FF37AB3"/>
    <w:rsid w:val="30CD7ED7"/>
    <w:rsid w:val="31170995"/>
    <w:rsid w:val="31264A30"/>
    <w:rsid w:val="31884E67"/>
    <w:rsid w:val="31A0275E"/>
    <w:rsid w:val="32AB70C5"/>
    <w:rsid w:val="335D0AF5"/>
    <w:rsid w:val="3370088C"/>
    <w:rsid w:val="33DC2F78"/>
    <w:rsid w:val="33E45C15"/>
    <w:rsid w:val="33E74D0E"/>
    <w:rsid w:val="3428227C"/>
    <w:rsid w:val="35602226"/>
    <w:rsid w:val="356B72E7"/>
    <w:rsid w:val="3572424F"/>
    <w:rsid w:val="367801A9"/>
    <w:rsid w:val="36AD519D"/>
    <w:rsid w:val="36B57705"/>
    <w:rsid w:val="37122320"/>
    <w:rsid w:val="37A103ED"/>
    <w:rsid w:val="37A52A96"/>
    <w:rsid w:val="37EA5E6E"/>
    <w:rsid w:val="37FF016F"/>
    <w:rsid w:val="387C5ABE"/>
    <w:rsid w:val="38EB6119"/>
    <w:rsid w:val="39164185"/>
    <w:rsid w:val="3A51228C"/>
    <w:rsid w:val="3A552E60"/>
    <w:rsid w:val="3A5D642F"/>
    <w:rsid w:val="3AB210FC"/>
    <w:rsid w:val="3B793A48"/>
    <w:rsid w:val="3BCD72F7"/>
    <w:rsid w:val="3C1655C8"/>
    <w:rsid w:val="3C3D3625"/>
    <w:rsid w:val="3C414142"/>
    <w:rsid w:val="3CC75E4F"/>
    <w:rsid w:val="3CF737A2"/>
    <w:rsid w:val="3D10295A"/>
    <w:rsid w:val="3E0572FD"/>
    <w:rsid w:val="3E5A7FE7"/>
    <w:rsid w:val="3EF66B2E"/>
    <w:rsid w:val="3F217914"/>
    <w:rsid w:val="3FD70BB0"/>
    <w:rsid w:val="3FFB55AC"/>
    <w:rsid w:val="401C5F9D"/>
    <w:rsid w:val="401C690C"/>
    <w:rsid w:val="401D7195"/>
    <w:rsid w:val="40CE3DC0"/>
    <w:rsid w:val="40D7455A"/>
    <w:rsid w:val="40E743E5"/>
    <w:rsid w:val="412D5EA0"/>
    <w:rsid w:val="41734CBA"/>
    <w:rsid w:val="420F7A65"/>
    <w:rsid w:val="4216611A"/>
    <w:rsid w:val="423E300F"/>
    <w:rsid w:val="425656C8"/>
    <w:rsid w:val="4257273C"/>
    <w:rsid w:val="42FD694D"/>
    <w:rsid w:val="43FA5777"/>
    <w:rsid w:val="441C1611"/>
    <w:rsid w:val="443C440B"/>
    <w:rsid w:val="44514F52"/>
    <w:rsid w:val="44D0586F"/>
    <w:rsid w:val="44FA2D53"/>
    <w:rsid w:val="4571374F"/>
    <w:rsid w:val="458B1BB0"/>
    <w:rsid w:val="467A0297"/>
    <w:rsid w:val="468B7125"/>
    <w:rsid w:val="46C4691F"/>
    <w:rsid w:val="47830DE1"/>
    <w:rsid w:val="479D1D34"/>
    <w:rsid w:val="47B609C0"/>
    <w:rsid w:val="482D31EA"/>
    <w:rsid w:val="485970A0"/>
    <w:rsid w:val="48823516"/>
    <w:rsid w:val="48B65C71"/>
    <w:rsid w:val="492E6A57"/>
    <w:rsid w:val="4A0030EE"/>
    <w:rsid w:val="4B8C2DEB"/>
    <w:rsid w:val="4BFA3C9F"/>
    <w:rsid w:val="4C107F48"/>
    <w:rsid w:val="4C3277BC"/>
    <w:rsid w:val="4CC353EB"/>
    <w:rsid w:val="4CF36F3C"/>
    <w:rsid w:val="4D603399"/>
    <w:rsid w:val="4D867EE1"/>
    <w:rsid w:val="4DBC4C65"/>
    <w:rsid w:val="4E550010"/>
    <w:rsid w:val="4E5F14CB"/>
    <w:rsid w:val="4F3705F8"/>
    <w:rsid w:val="4FAC3540"/>
    <w:rsid w:val="4FCF1583"/>
    <w:rsid w:val="4FFA7625"/>
    <w:rsid w:val="507D2599"/>
    <w:rsid w:val="50896757"/>
    <w:rsid w:val="5096229D"/>
    <w:rsid w:val="50DC4184"/>
    <w:rsid w:val="50F641E1"/>
    <w:rsid w:val="514C3EA7"/>
    <w:rsid w:val="52AC4ABC"/>
    <w:rsid w:val="539C1B81"/>
    <w:rsid w:val="53A447B1"/>
    <w:rsid w:val="53AE750F"/>
    <w:rsid w:val="54532441"/>
    <w:rsid w:val="549A6BFA"/>
    <w:rsid w:val="55FA2961"/>
    <w:rsid w:val="564220BA"/>
    <w:rsid w:val="565E7F4F"/>
    <w:rsid w:val="56914056"/>
    <w:rsid w:val="57221508"/>
    <w:rsid w:val="57293C95"/>
    <w:rsid w:val="57F65317"/>
    <w:rsid w:val="57FC2169"/>
    <w:rsid w:val="58096275"/>
    <w:rsid w:val="582E6EF7"/>
    <w:rsid w:val="584E30E6"/>
    <w:rsid w:val="59247405"/>
    <w:rsid w:val="597B384D"/>
    <w:rsid w:val="59996DA8"/>
    <w:rsid w:val="59C30F1B"/>
    <w:rsid w:val="5AC7121C"/>
    <w:rsid w:val="5AD90B8D"/>
    <w:rsid w:val="5AE12927"/>
    <w:rsid w:val="5B4E1A44"/>
    <w:rsid w:val="5B873201"/>
    <w:rsid w:val="5B967767"/>
    <w:rsid w:val="5C286807"/>
    <w:rsid w:val="5C446BC8"/>
    <w:rsid w:val="5C5D2CA4"/>
    <w:rsid w:val="5C7C2768"/>
    <w:rsid w:val="5CB23AE6"/>
    <w:rsid w:val="5D0D6DF5"/>
    <w:rsid w:val="5D893B14"/>
    <w:rsid w:val="5E843793"/>
    <w:rsid w:val="5EA06921"/>
    <w:rsid w:val="5FBE370A"/>
    <w:rsid w:val="60292845"/>
    <w:rsid w:val="612E1A5D"/>
    <w:rsid w:val="61816046"/>
    <w:rsid w:val="62391564"/>
    <w:rsid w:val="62816669"/>
    <w:rsid w:val="62BA0953"/>
    <w:rsid w:val="62D03A7C"/>
    <w:rsid w:val="62F648FE"/>
    <w:rsid w:val="636F7F03"/>
    <w:rsid w:val="63A10995"/>
    <w:rsid w:val="63B92874"/>
    <w:rsid w:val="63C23EFA"/>
    <w:rsid w:val="643A070A"/>
    <w:rsid w:val="644C573D"/>
    <w:rsid w:val="65032F85"/>
    <w:rsid w:val="65136B50"/>
    <w:rsid w:val="657E2A35"/>
    <w:rsid w:val="65A94E9D"/>
    <w:rsid w:val="65C60A92"/>
    <w:rsid w:val="66A12460"/>
    <w:rsid w:val="66DD6702"/>
    <w:rsid w:val="67F07ACB"/>
    <w:rsid w:val="682A2352"/>
    <w:rsid w:val="68AD17BB"/>
    <w:rsid w:val="68D94D22"/>
    <w:rsid w:val="692B2E4A"/>
    <w:rsid w:val="694F77D7"/>
    <w:rsid w:val="696A0B34"/>
    <w:rsid w:val="698D6A17"/>
    <w:rsid w:val="69F954C1"/>
    <w:rsid w:val="6A2031B6"/>
    <w:rsid w:val="6A2F57D7"/>
    <w:rsid w:val="6AC61F6F"/>
    <w:rsid w:val="6ADE74F0"/>
    <w:rsid w:val="6B723594"/>
    <w:rsid w:val="6B805156"/>
    <w:rsid w:val="6BC75C65"/>
    <w:rsid w:val="6BD50977"/>
    <w:rsid w:val="6BE60C84"/>
    <w:rsid w:val="6CAA3931"/>
    <w:rsid w:val="6D3933CA"/>
    <w:rsid w:val="6D7B61EC"/>
    <w:rsid w:val="6E09491E"/>
    <w:rsid w:val="6E0D3655"/>
    <w:rsid w:val="6E5F4465"/>
    <w:rsid w:val="6E8C54DA"/>
    <w:rsid w:val="6EF11E03"/>
    <w:rsid w:val="6F111C62"/>
    <w:rsid w:val="6F2176E5"/>
    <w:rsid w:val="6F273651"/>
    <w:rsid w:val="6F592303"/>
    <w:rsid w:val="6F5F5B74"/>
    <w:rsid w:val="6F9B1C65"/>
    <w:rsid w:val="6FFB146E"/>
    <w:rsid w:val="706516C3"/>
    <w:rsid w:val="70896E68"/>
    <w:rsid w:val="714E561F"/>
    <w:rsid w:val="715B60E9"/>
    <w:rsid w:val="71EA1FED"/>
    <w:rsid w:val="730313F6"/>
    <w:rsid w:val="73370D24"/>
    <w:rsid w:val="7359268C"/>
    <w:rsid w:val="739503EB"/>
    <w:rsid w:val="73A05B28"/>
    <w:rsid w:val="73C07D69"/>
    <w:rsid w:val="74B42AE4"/>
    <w:rsid w:val="750A429D"/>
    <w:rsid w:val="75614792"/>
    <w:rsid w:val="75784473"/>
    <w:rsid w:val="75B161B3"/>
    <w:rsid w:val="76736B32"/>
    <w:rsid w:val="768925E3"/>
    <w:rsid w:val="76E3765E"/>
    <w:rsid w:val="76FC2AFA"/>
    <w:rsid w:val="77653671"/>
    <w:rsid w:val="778546CC"/>
    <w:rsid w:val="77B56730"/>
    <w:rsid w:val="77C04A8B"/>
    <w:rsid w:val="77D85DB3"/>
    <w:rsid w:val="78A50513"/>
    <w:rsid w:val="796518DD"/>
    <w:rsid w:val="79AA0532"/>
    <w:rsid w:val="79FE1DDD"/>
    <w:rsid w:val="7A075767"/>
    <w:rsid w:val="7A212062"/>
    <w:rsid w:val="7A282A11"/>
    <w:rsid w:val="7A3A59B8"/>
    <w:rsid w:val="7AC21562"/>
    <w:rsid w:val="7AD474A4"/>
    <w:rsid w:val="7B8D34C3"/>
    <w:rsid w:val="7B971D84"/>
    <w:rsid w:val="7BD277CC"/>
    <w:rsid w:val="7BF32F03"/>
    <w:rsid w:val="7C1724A5"/>
    <w:rsid w:val="7CA54112"/>
    <w:rsid w:val="7CAB27F5"/>
    <w:rsid w:val="7CE50CE4"/>
    <w:rsid w:val="7D2E5ABF"/>
    <w:rsid w:val="7E2142A2"/>
    <w:rsid w:val="7E7B0BF2"/>
    <w:rsid w:val="7E8D75B6"/>
    <w:rsid w:val="7EF76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2"/>
    <w:basedOn w:val="1"/>
    <w:next w:val="1"/>
    <w:link w:val="2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5"/>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spacing w:before="161"/>
      <w:ind w:left="120"/>
    </w:pPr>
    <w:rPr>
      <w:rFonts w:ascii="宋体" w:hAnsi="宋体" w:eastAsia="宋体" w:cs="宋体"/>
      <w:sz w:val="24"/>
      <w:lang w:val="zh-CN" w:bidi="zh-CN"/>
    </w:rPr>
  </w:style>
  <w:style w:type="paragraph" w:styleId="6">
    <w:name w:val="annotation text"/>
    <w:basedOn w:val="1"/>
    <w:semiHidden/>
    <w:unhideWhenUsed/>
    <w:qFormat/>
    <w:uiPriority w:val="99"/>
    <w:pPr>
      <w:jc w:val="left"/>
    </w:pPr>
  </w:style>
  <w:style w:type="paragraph" w:styleId="7">
    <w:name w:val="toc 3"/>
    <w:basedOn w:val="1"/>
    <w:next w:val="1"/>
    <w:unhideWhenUsed/>
    <w:qFormat/>
    <w:uiPriority w:val="39"/>
    <w:pPr>
      <w:tabs>
        <w:tab w:val="right" w:leader="dot" w:pos="8296"/>
      </w:tabs>
      <w:ind w:left="838" w:leftChars="381"/>
    </w:pPr>
    <w:rPr>
      <w:sz w:val="21"/>
      <w:szCs w:val="21"/>
    </w:rPr>
  </w:style>
  <w:style w:type="paragraph" w:styleId="8">
    <w:name w:val="Plain Text"/>
    <w:basedOn w:val="1"/>
    <w:link w:val="38"/>
    <w:qFormat/>
    <w:uiPriority w:val="0"/>
    <w:pPr>
      <w:widowControl w:val="0"/>
      <w:adjustRightInd/>
      <w:snapToGrid/>
      <w:spacing w:after="0"/>
      <w:jc w:val="both"/>
    </w:pPr>
    <w:rPr>
      <w:rFonts w:ascii="宋体" w:hAnsi="Courier New" w:eastAsia="宋体" w:cs="Times New Roman"/>
      <w:b/>
      <w:kern w:val="2"/>
      <w:sz w:val="21"/>
      <w:szCs w:val="20"/>
    </w:rPr>
  </w:style>
  <w:style w:type="paragraph" w:styleId="9">
    <w:name w:val="Balloon Text"/>
    <w:basedOn w:val="1"/>
    <w:link w:val="41"/>
    <w:semiHidden/>
    <w:unhideWhenUsed/>
    <w:qFormat/>
    <w:uiPriority w:val="99"/>
    <w:pPr>
      <w:spacing w:after="0"/>
    </w:pPr>
    <w:rPr>
      <w:sz w:val="18"/>
      <w:szCs w:val="18"/>
    </w:rPr>
  </w:style>
  <w:style w:type="paragraph" w:styleId="10">
    <w:name w:val="footer"/>
    <w:basedOn w:val="1"/>
    <w:link w:val="40"/>
    <w:unhideWhenUsed/>
    <w:qFormat/>
    <w:uiPriority w:val="99"/>
    <w:pPr>
      <w:tabs>
        <w:tab w:val="center" w:pos="4153"/>
        <w:tab w:val="right" w:pos="8306"/>
      </w:tabs>
    </w:pPr>
    <w:rPr>
      <w:sz w:val="18"/>
      <w:szCs w:val="18"/>
    </w:rPr>
  </w:style>
  <w:style w:type="paragraph" w:styleId="11">
    <w:name w:val="header"/>
    <w:basedOn w:val="1"/>
    <w:link w:val="39"/>
    <w:unhideWhenUsed/>
    <w:qFormat/>
    <w:uiPriority w:val="99"/>
    <w:pPr>
      <w:pBdr>
        <w:bottom w:val="single" w:color="auto" w:sz="6" w:space="1"/>
      </w:pBdr>
      <w:tabs>
        <w:tab w:val="center" w:pos="4153"/>
        <w:tab w:val="right" w:pos="8306"/>
      </w:tabs>
      <w:jc w:val="center"/>
    </w:pPr>
    <w:rPr>
      <w:sz w:val="18"/>
      <w:szCs w:val="18"/>
    </w:rPr>
  </w:style>
  <w:style w:type="paragraph" w:styleId="12">
    <w:name w:val="toc 1"/>
    <w:basedOn w:val="1"/>
    <w:next w:val="1"/>
    <w:semiHidden/>
    <w:unhideWhenUsed/>
    <w:qFormat/>
    <w:uiPriority w:val="39"/>
  </w:style>
  <w:style w:type="paragraph" w:styleId="13">
    <w:name w:val="toc 4"/>
    <w:basedOn w:val="1"/>
    <w:next w:val="1"/>
    <w:unhideWhenUsed/>
    <w:qFormat/>
    <w:uiPriority w:val="39"/>
    <w:pPr>
      <w:tabs>
        <w:tab w:val="right" w:leader="dot" w:pos="8296"/>
      </w:tabs>
      <w:spacing w:after="120"/>
      <w:ind w:left="1320" w:leftChars="600"/>
    </w:pPr>
  </w:style>
  <w:style w:type="paragraph" w:styleId="14">
    <w:name w:val="footnote text"/>
    <w:basedOn w:val="1"/>
    <w:semiHidden/>
    <w:unhideWhenUsed/>
    <w:qFormat/>
    <w:uiPriority w:val="99"/>
    <w:pPr>
      <w:snapToGrid w:val="0"/>
      <w:jc w:val="left"/>
    </w:pPr>
    <w:rPr>
      <w:sz w:val="18"/>
    </w:rPr>
  </w:style>
  <w:style w:type="paragraph" w:styleId="15">
    <w:name w:val="toc 2"/>
    <w:basedOn w:val="1"/>
    <w:next w:val="1"/>
    <w:unhideWhenUsed/>
    <w:qFormat/>
    <w:uiPriority w:val="39"/>
    <w:pPr>
      <w:tabs>
        <w:tab w:val="right" w:leader="dot" w:pos="8296"/>
      </w:tabs>
      <w:spacing w:after="0" w:line="360" w:lineRule="auto"/>
      <w:ind w:left="440" w:leftChars="200"/>
      <w:jc w:val="center"/>
    </w:pPr>
    <w:rPr>
      <w:rFonts w:ascii="宋体" w:hAnsi="宋体" w:eastAsia="宋体"/>
      <w:sz w:val="30"/>
      <w:szCs w:val="30"/>
    </w:rPr>
  </w:style>
  <w:style w:type="paragraph" w:styleId="16">
    <w:name w:val="Normal (Web)"/>
    <w:basedOn w:val="1"/>
    <w:link w:val="43"/>
    <w:qFormat/>
    <w:uiPriority w:val="0"/>
    <w:pPr>
      <w:widowControl w:val="0"/>
      <w:adjustRightInd/>
      <w:snapToGrid/>
      <w:spacing w:after="0"/>
      <w:jc w:val="both"/>
    </w:pPr>
    <w:rPr>
      <w:rFonts w:eastAsia="宋体" w:asciiTheme="minorHAnsi" w:hAnsiTheme="minorHAnsi"/>
      <w:kern w:val="2"/>
      <w:sz w:val="24"/>
      <w:szCs w:val="24"/>
    </w:rPr>
  </w:style>
  <w:style w:type="paragraph" w:styleId="17">
    <w:name w:val="Body Text First Indent"/>
    <w:basedOn w:val="2"/>
    <w:qFormat/>
    <w:uiPriority w:val="0"/>
    <w:pPr>
      <w:numPr>
        <w:ilvl w:val="0"/>
        <w:numId w:val="1"/>
      </w:numPr>
      <w:tabs>
        <w:tab w:val="clear" w:pos="420"/>
      </w:tabs>
      <w:spacing w:line="360" w:lineRule="auto"/>
      <w:ind w:left="0" w:firstLine="420" w:firstLineChars="100"/>
    </w:pPr>
    <w:rPr>
      <w:rFonts w:ascii="Calibri" w:hAnsi="Calibri"/>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Emphasis"/>
    <w:basedOn w:val="20"/>
    <w:qFormat/>
    <w:uiPriority w:val="20"/>
    <w:rPr>
      <w:i/>
      <w:iCs/>
    </w:rPr>
  </w:style>
  <w:style w:type="character" w:styleId="22">
    <w:name w:val="Hyperlink"/>
    <w:qFormat/>
    <w:uiPriority w:val="99"/>
    <w:rPr>
      <w:rFonts w:hint="eastAsia" w:ascii="宋体" w:hAnsi="宋体" w:eastAsia="宋体" w:cs="宋体"/>
      <w:b/>
      <w:color w:val="0031C1"/>
      <w:kern w:val="0"/>
      <w:sz w:val="18"/>
      <w:szCs w:val="18"/>
      <w:u w:val="none"/>
      <w:lang w:eastAsia="en-US"/>
    </w:rPr>
  </w:style>
  <w:style w:type="character" w:styleId="23">
    <w:name w:val="footnote reference"/>
    <w:basedOn w:val="20"/>
    <w:semiHidden/>
    <w:unhideWhenUsed/>
    <w:qFormat/>
    <w:uiPriority w:val="99"/>
    <w:rPr>
      <w:vertAlign w:val="superscript"/>
    </w:rPr>
  </w:style>
  <w:style w:type="character" w:customStyle="1" w:styleId="24">
    <w:name w:val="标题 2 字符"/>
    <w:basedOn w:val="20"/>
    <w:link w:val="3"/>
    <w:qFormat/>
    <w:uiPriority w:val="9"/>
    <w:rPr>
      <w:rFonts w:asciiTheme="majorHAnsi" w:hAnsiTheme="majorHAnsi" w:eastAsiaTheme="majorEastAsia" w:cstheme="majorBidi"/>
      <w:b/>
      <w:bCs/>
      <w:sz w:val="32"/>
      <w:szCs w:val="32"/>
    </w:rPr>
  </w:style>
  <w:style w:type="character" w:customStyle="1" w:styleId="25">
    <w:name w:val="标题 3 字符"/>
    <w:basedOn w:val="20"/>
    <w:link w:val="4"/>
    <w:qFormat/>
    <w:uiPriority w:val="9"/>
    <w:rPr>
      <w:rFonts w:ascii="Tahoma" w:hAnsi="Tahoma"/>
      <w:b/>
      <w:bCs/>
      <w:sz w:val="32"/>
      <w:szCs w:val="32"/>
    </w:rPr>
  </w:style>
  <w:style w:type="paragraph" w:styleId="26">
    <w:name w:val="List Paragraph"/>
    <w:basedOn w:val="1"/>
    <w:qFormat/>
    <w:uiPriority w:val="34"/>
    <w:pPr>
      <w:ind w:firstLine="420" w:firstLineChars="200"/>
    </w:pPr>
  </w:style>
  <w:style w:type="character" w:customStyle="1" w:styleId="27">
    <w:name w:val="标题 4 字符"/>
    <w:basedOn w:val="20"/>
    <w:link w:val="5"/>
    <w:qFormat/>
    <w:uiPriority w:val="9"/>
    <w:rPr>
      <w:rFonts w:asciiTheme="majorHAnsi" w:hAnsiTheme="majorHAnsi" w:eastAsiaTheme="majorEastAsia" w:cstheme="majorBidi"/>
      <w:b/>
      <w:bCs/>
      <w:sz w:val="28"/>
      <w:szCs w:val="28"/>
    </w:rPr>
  </w:style>
  <w:style w:type="character" w:customStyle="1" w:styleId="28">
    <w:name w:val="正文缩进2格 Char"/>
    <w:link w:val="29"/>
    <w:qFormat/>
    <w:uiPriority w:val="0"/>
    <w:rPr>
      <w:rFonts w:ascii="仿宋_GB2312" w:hAnsi="宋体" w:eastAsia="仿宋_GB2312"/>
      <w:kern w:val="2"/>
      <w:sz w:val="31"/>
    </w:rPr>
  </w:style>
  <w:style w:type="paragraph" w:customStyle="1" w:styleId="29">
    <w:name w:val="正文缩进2格"/>
    <w:basedOn w:val="1"/>
    <w:link w:val="28"/>
    <w:qFormat/>
    <w:uiPriority w:val="0"/>
    <w:pPr>
      <w:widowControl w:val="0"/>
      <w:adjustRightInd/>
      <w:snapToGrid/>
      <w:spacing w:after="0" w:line="600" w:lineRule="exact"/>
      <w:ind w:firstLine="639" w:firstLineChars="206"/>
      <w:jc w:val="both"/>
    </w:pPr>
    <w:rPr>
      <w:rFonts w:ascii="仿宋_GB2312" w:hAnsi="宋体" w:eastAsia="仿宋_GB2312"/>
      <w:kern w:val="2"/>
      <w:sz w:val="31"/>
    </w:rPr>
  </w:style>
  <w:style w:type="paragraph" w:customStyle="1" w:styleId="30">
    <w:name w:val="正文缩进4格"/>
    <w:basedOn w:val="29"/>
    <w:qFormat/>
    <w:uiPriority w:val="0"/>
    <w:pPr>
      <w:ind w:left="2" w:firstLine="538" w:firstLineChars="192"/>
    </w:pPr>
    <w:rPr>
      <w:color w:val="0000FF"/>
      <w:sz w:val="28"/>
    </w:rPr>
  </w:style>
  <w:style w:type="character" w:customStyle="1" w:styleId="31">
    <w:name w:val="正文缩进2格 Char Char"/>
    <w:qFormat/>
    <w:uiPriority w:val="0"/>
    <w:rPr>
      <w:rFonts w:ascii="仿宋_GB2312" w:hAnsi="宋体" w:eastAsia="仿宋_GB2312" w:cs="Times New Roman"/>
      <w:b/>
      <w:kern w:val="2"/>
      <w:sz w:val="31"/>
      <w:szCs w:val="28"/>
      <w:lang w:val="en-US" w:eastAsia="zh-CN" w:bidi="ar-SA"/>
    </w:rPr>
  </w:style>
  <w:style w:type="paragraph" w:customStyle="1" w:styleId="32">
    <w:name w:val="_Style 3"/>
    <w:basedOn w:val="1"/>
    <w:qFormat/>
    <w:uiPriority w:val="0"/>
    <w:pPr>
      <w:widowControl w:val="0"/>
      <w:adjustRightInd/>
      <w:snapToGrid/>
      <w:spacing w:after="0"/>
      <w:ind w:firstLine="420" w:firstLineChars="200"/>
      <w:jc w:val="both"/>
    </w:pPr>
    <w:rPr>
      <w:rFonts w:ascii="Times New Roman" w:hAnsi="Times New Roman" w:eastAsia="宋体" w:cs="Times New Roman"/>
      <w:kern w:val="2"/>
      <w:sz w:val="21"/>
      <w:szCs w:val="24"/>
    </w:rPr>
  </w:style>
  <w:style w:type="character" w:customStyle="1" w:styleId="33">
    <w:name w:val="标题1"/>
    <w:qFormat/>
    <w:uiPriority w:val="0"/>
    <w:rPr>
      <w:rFonts w:ascii="Times New Roman" w:hAnsi="Times New Roman" w:eastAsia="宋体" w:cs="Times New Roman"/>
      <w:b/>
      <w:kern w:val="0"/>
      <w:sz w:val="24"/>
      <w:szCs w:val="20"/>
      <w:lang w:eastAsia="en-US"/>
    </w:rPr>
  </w:style>
  <w:style w:type="character" w:customStyle="1" w:styleId="34">
    <w:name w:val="标题 3.1 Char"/>
    <w:link w:val="35"/>
    <w:qFormat/>
    <w:uiPriority w:val="0"/>
    <w:rPr>
      <w:rFonts w:ascii="宋体" w:hAnsi="宋体" w:eastAsia="宋体"/>
      <w:b/>
      <w:color w:val="FF0000"/>
      <w:kern w:val="2"/>
      <w:sz w:val="32"/>
    </w:rPr>
  </w:style>
  <w:style w:type="paragraph" w:customStyle="1" w:styleId="35">
    <w:name w:val="标题 3.1"/>
    <w:basedOn w:val="4"/>
    <w:link w:val="34"/>
    <w:qFormat/>
    <w:uiPriority w:val="0"/>
    <w:pPr>
      <w:widowControl w:val="0"/>
      <w:tabs>
        <w:tab w:val="left" w:pos="1440"/>
        <w:tab w:val="left" w:pos="1620"/>
      </w:tabs>
      <w:adjustRightInd/>
      <w:snapToGrid/>
      <w:spacing w:line="600" w:lineRule="exact"/>
      <w:jc w:val="both"/>
    </w:pPr>
    <w:rPr>
      <w:rFonts w:ascii="宋体" w:hAnsi="宋体" w:eastAsia="宋体"/>
      <w:bCs w:val="0"/>
      <w:color w:val="FF0000"/>
      <w:kern w:val="2"/>
      <w:szCs w:val="22"/>
    </w:rPr>
  </w:style>
  <w:style w:type="character" w:customStyle="1" w:styleId="36">
    <w:name w:val="样式 楷体_GB2312 小四"/>
    <w:qFormat/>
    <w:uiPriority w:val="0"/>
    <w:rPr>
      <w:rFonts w:ascii="楷体_GB2312" w:hAnsi="楷体_GB2312" w:eastAsia="仿宋_GB2312"/>
      <w:sz w:val="24"/>
    </w:rPr>
  </w:style>
  <w:style w:type="character" w:customStyle="1" w:styleId="37">
    <w:name w:val="纯文本 Char"/>
    <w:qFormat/>
    <w:uiPriority w:val="0"/>
    <w:rPr>
      <w:rFonts w:ascii="宋体" w:hAnsi="Courier New" w:eastAsia="宋体" w:cs="Times New Roman"/>
      <w:b/>
      <w:kern w:val="2"/>
      <w:sz w:val="21"/>
      <w:szCs w:val="20"/>
    </w:rPr>
  </w:style>
  <w:style w:type="character" w:customStyle="1" w:styleId="38">
    <w:name w:val="纯文本 字符"/>
    <w:basedOn w:val="20"/>
    <w:link w:val="8"/>
    <w:semiHidden/>
    <w:qFormat/>
    <w:uiPriority w:val="99"/>
    <w:rPr>
      <w:rFonts w:ascii="宋体" w:hAnsi="Courier New" w:eastAsia="宋体" w:cs="Courier New"/>
      <w:sz w:val="21"/>
      <w:szCs w:val="21"/>
    </w:rPr>
  </w:style>
  <w:style w:type="character" w:customStyle="1" w:styleId="39">
    <w:name w:val="页眉 字符"/>
    <w:basedOn w:val="20"/>
    <w:link w:val="11"/>
    <w:qFormat/>
    <w:uiPriority w:val="99"/>
    <w:rPr>
      <w:rFonts w:ascii="Tahoma" w:hAnsi="Tahoma"/>
      <w:sz w:val="18"/>
      <w:szCs w:val="18"/>
    </w:rPr>
  </w:style>
  <w:style w:type="character" w:customStyle="1" w:styleId="40">
    <w:name w:val="页脚 字符"/>
    <w:basedOn w:val="20"/>
    <w:link w:val="10"/>
    <w:qFormat/>
    <w:uiPriority w:val="99"/>
    <w:rPr>
      <w:rFonts w:ascii="Tahoma" w:hAnsi="Tahoma"/>
      <w:sz w:val="18"/>
      <w:szCs w:val="18"/>
    </w:rPr>
  </w:style>
  <w:style w:type="character" w:customStyle="1" w:styleId="41">
    <w:name w:val="批注框文本 字符"/>
    <w:basedOn w:val="20"/>
    <w:link w:val="9"/>
    <w:semiHidden/>
    <w:qFormat/>
    <w:uiPriority w:val="99"/>
    <w:rPr>
      <w:rFonts w:ascii="Tahoma" w:hAnsi="Tahoma"/>
      <w:sz w:val="18"/>
      <w:szCs w:val="18"/>
    </w:rPr>
  </w:style>
  <w:style w:type="paragraph" w:customStyle="1" w:styleId="42">
    <w:name w:val="Char Char2 Char"/>
    <w:basedOn w:val="1"/>
    <w:qFormat/>
    <w:uiPriority w:val="0"/>
    <w:pPr>
      <w:widowControl w:val="0"/>
      <w:adjustRightInd/>
      <w:snapToGrid/>
      <w:spacing w:after="0"/>
      <w:jc w:val="both"/>
    </w:pPr>
    <w:rPr>
      <w:rFonts w:ascii="宋体" w:hAnsi="宋体" w:eastAsia="宋体" w:cs="Times New Roman"/>
      <w:b/>
      <w:kern w:val="2"/>
      <w:sz w:val="28"/>
      <w:szCs w:val="28"/>
    </w:rPr>
  </w:style>
  <w:style w:type="character" w:customStyle="1" w:styleId="43">
    <w:name w:val="普通(网站) 字符"/>
    <w:link w:val="16"/>
    <w:qFormat/>
    <w:uiPriority w:val="0"/>
    <w:rPr>
      <w:rFonts w:eastAsia="宋体"/>
      <w:kern w:val="2"/>
      <w:sz w:val="24"/>
      <w:szCs w:val="24"/>
    </w:rPr>
  </w:style>
  <w:style w:type="paragraph" w:customStyle="1" w:styleId="44">
    <w:name w:val="列出段落1"/>
    <w:basedOn w:val="1"/>
    <w:qFormat/>
    <w:uiPriority w:val="99"/>
    <w:pPr>
      <w:widowControl w:val="0"/>
      <w:adjustRightInd/>
      <w:snapToGrid/>
      <w:spacing w:after="0" w:line="360" w:lineRule="auto"/>
      <w:ind w:firstLine="420" w:firstLineChars="200"/>
      <w:jc w:val="both"/>
    </w:pPr>
    <w:rPr>
      <w:rFonts w:ascii="Times New Roman" w:hAnsi="Times New Roman" w:eastAsia="宋体" w:cs="Times New Roman"/>
      <w:kern w:val="2"/>
      <w:sz w:val="24"/>
      <w:szCs w:val="24"/>
    </w:rPr>
  </w:style>
  <w:style w:type="character" w:customStyle="1" w:styleId="45">
    <w:name w:val="p141"/>
    <w:qFormat/>
    <w:uiPriority w:val="0"/>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71FBAE-2CAE-44C6-AC91-4383CA6204F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63</Pages>
  <Words>5400</Words>
  <Characters>30783</Characters>
  <Lines>256</Lines>
  <Paragraphs>72</Paragraphs>
  <TotalTime>0</TotalTime>
  <ScaleCrop>false</ScaleCrop>
  <LinksUpToDate>false</LinksUpToDate>
  <CharactersWithSpaces>36111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2018-03-23T02:07:00Z</dcterms:created>
  <dc:creator>11</dc:creator>
  <cp:lastModifiedBy>王工</cp:lastModifiedBy>
  <cp:lastPrinted>2021-05-27T03:10:00Z</cp:lastPrinted>
  <dcterms:modified xsi:type="dcterms:W3CDTF">2021-05-31T03:52:11Z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01635BBE13174D808EA3285D2A4E4B53</vt:lpwstr>
  </property>
</Properties>
</file>