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eastAsia="黑体"/>
          <w:b/>
          <w:color w:val="auto"/>
          <w:sz w:val="36"/>
          <w:highlight w:val="none"/>
        </w:rPr>
      </w:pPr>
      <w:r>
        <w:rPr>
          <w:rFonts w:ascii="Tahoma" w:hAnsi="Tahoma" w:eastAsia="黑体" w:cs="黑体"/>
          <w:b/>
          <w:color w:val="auto"/>
          <w:sz w:val="28"/>
          <w:szCs w:val="22"/>
          <w:highlight w:val="none"/>
          <w:lang w:val="en-US" w:eastAsia="zh-CN" w:bidi="ar-SA"/>
        </w:rPr>
        <w:pict>
          <v:shape id="Picture 1" o:spid="_x0000_s1028" type="#_x0000_t75" style="height:40.75pt;width:42.1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rPr>
        <w:t>国内采购</w:t>
      </w:r>
    </w:p>
    <w:p>
      <w:pPr>
        <w:jc w:val="center"/>
        <w:rPr>
          <w:b/>
          <w:color w:val="auto"/>
          <w:sz w:val="72"/>
          <w:szCs w:val="32"/>
          <w:highlight w:val="none"/>
        </w:rPr>
      </w:pPr>
      <w:r>
        <w:rPr>
          <w:rFonts w:hint="eastAsia" w:ascii="黑体" w:eastAsia="黑体"/>
          <w:b/>
          <w:color w:val="auto"/>
          <w:sz w:val="72"/>
          <w:szCs w:val="32"/>
          <w:highlight w:val="none"/>
        </w:rPr>
        <w:t>公开招标文件</w:t>
      </w:r>
    </w:p>
    <w:p>
      <w:pPr>
        <w:jc w:val="center"/>
        <w:rPr>
          <w:color w:val="auto"/>
          <w:highlight w:val="none"/>
        </w:rPr>
      </w:pPr>
    </w:p>
    <w:p>
      <w:pPr>
        <w:jc w:val="center"/>
        <w:rPr>
          <w:color w:val="auto"/>
          <w:highlight w:val="none"/>
        </w:rPr>
      </w:pPr>
    </w:p>
    <w:p>
      <w:pPr>
        <w:rPr>
          <w:color w:val="auto"/>
          <w:highlight w:val="none"/>
        </w:rPr>
      </w:pPr>
    </w:p>
    <w:tbl>
      <w:tblPr>
        <w:tblStyle w:val="32"/>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trPr>
        <w:tc>
          <w:tcPr>
            <w:tcW w:w="2613" w:type="dxa"/>
            <w:vAlign w:val="center"/>
          </w:tcPr>
          <w:p>
            <w:pPr>
              <w:spacing w:before="200"/>
              <w:jc w:val="both"/>
              <w:rPr>
                <w:rFonts w:ascii="黑体" w:hAnsi="黑体" w:eastAsia="黑体"/>
                <w:bCs/>
                <w:color w:val="auto"/>
                <w:sz w:val="32"/>
                <w:szCs w:val="24"/>
                <w:highlight w:val="none"/>
              </w:rPr>
            </w:pPr>
            <w:r>
              <w:rPr>
                <w:rFonts w:hint="eastAsia" w:ascii="黑体" w:hAnsi="黑体" w:eastAsia="黑体"/>
                <w:bCs/>
                <w:color w:val="auto"/>
                <w:sz w:val="32"/>
                <w:szCs w:val="24"/>
                <w:highlight w:val="none"/>
              </w:rPr>
              <w:t>项目名称：</w:t>
            </w:r>
          </w:p>
        </w:tc>
        <w:tc>
          <w:tcPr>
            <w:tcW w:w="6203" w:type="dxa"/>
            <w:vAlign w:val="center"/>
          </w:tcPr>
          <w:p>
            <w:pPr>
              <w:spacing w:before="200"/>
              <w:jc w:val="both"/>
              <w:rPr>
                <w:rFonts w:hint="eastAsia" w:ascii="黑体" w:hAnsi="黑体" w:eastAsia="黑体"/>
                <w:bCs/>
                <w:color w:val="auto"/>
                <w:sz w:val="32"/>
                <w:szCs w:val="24"/>
                <w:highlight w:val="none"/>
                <w:lang w:eastAsia="zh-CN"/>
              </w:rPr>
            </w:pPr>
            <w:r>
              <w:rPr>
                <w:rFonts w:hint="eastAsia" w:ascii="黑体" w:hAnsi="黑体" w:eastAsia="黑体"/>
                <w:bCs/>
                <w:color w:val="auto"/>
                <w:sz w:val="32"/>
                <w:szCs w:val="24"/>
                <w:highlight w:val="none"/>
                <w:lang w:eastAsia="zh-CN"/>
              </w:rPr>
              <w:t>石排镇塘尾村视频监控升级改造项目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2613" w:type="dxa"/>
            <w:vAlign w:val="center"/>
          </w:tcPr>
          <w:p>
            <w:pPr>
              <w:spacing w:before="200"/>
              <w:jc w:val="both"/>
              <w:rPr>
                <w:rFonts w:ascii="黑体" w:hAnsi="黑体" w:eastAsia="黑体"/>
                <w:bCs/>
                <w:color w:val="auto"/>
                <w:sz w:val="32"/>
                <w:szCs w:val="24"/>
                <w:highlight w:val="none"/>
              </w:rPr>
            </w:pPr>
            <w:r>
              <w:rPr>
                <w:rFonts w:hint="eastAsia" w:ascii="黑体" w:hAnsi="黑体" w:eastAsia="黑体"/>
                <w:bCs/>
                <w:color w:val="auto"/>
                <w:sz w:val="32"/>
                <w:szCs w:val="24"/>
                <w:highlight w:val="none"/>
              </w:rPr>
              <w:t>项目编号：</w:t>
            </w:r>
          </w:p>
        </w:tc>
        <w:tc>
          <w:tcPr>
            <w:tcW w:w="6203" w:type="dxa"/>
            <w:vAlign w:val="center"/>
          </w:tcPr>
          <w:p>
            <w:pPr>
              <w:spacing w:before="200"/>
              <w:jc w:val="both"/>
              <w:rPr>
                <w:rFonts w:ascii="黑体" w:hAnsi="黑体" w:eastAsia="黑体"/>
                <w:bCs/>
                <w:color w:val="auto"/>
                <w:sz w:val="32"/>
                <w:szCs w:val="24"/>
                <w:highlight w:val="none"/>
              </w:rPr>
            </w:pPr>
            <w:r>
              <w:rPr>
                <w:rFonts w:hint="eastAsia" w:ascii="黑体" w:hAnsi="黑体" w:eastAsia="黑体"/>
                <w:bCs/>
                <w:color w:val="auto"/>
                <w:sz w:val="32"/>
                <w:szCs w:val="24"/>
                <w:highlight w:val="none"/>
              </w:rPr>
              <w:t xml:space="preserve">0832-SFCX21DG206C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atLeast"/>
        </w:trPr>
        <w:tc>
          <w:tcPr>
            <w:tcW w:w="2613" w:type="dxa"/>
            <w:vAlign w:val="center"/>
          </w:tcPr>
          <w:p>
            <w:pPr>
              <w:spacing w:before="200"/>
              <w:jc w:val="both"/>
              <w:rPr>
                <w:rFonts w:ascii="黑体" w:hAnsi="黑体" w:eastAsia="黑体"/>
                <w:bCs/>
                <w:color w:val="auto"/>
                <w:sz w:val="32"/>
                <w:szCs w:val="24"/>
                <w:highlight w:val="none"/>
              </w:rPr>
            </w:pPr>
            <w:r>
              <w:rPr>
                <w:rFonts w:hint="eastAsia" w:ascii="黑体" w:hAnsi="黑体" w:eastAsia="黑体"/>
                <w:bCs/>
                <w:color w:val="auto"/>
                <w:sz w:val="32"/>
                <w:szCs w:val="24"/>
                <w:highlight w:val="none"/>
              </w:rPr>
              <w:t>采购人：</w:t>
            </w:r>
          </w:p>
        </w:tc>
        <w:tc>
          <w:tcPr>
            <w:tcW w:w="6203" w:type="dxa"/>
            <w:vAlign w:val="center"/>
          </w:tcPr>
          <w:p>
            <w:pPr>
              <w:spacing w:before="200"/>
              <w:jc w:val="both"/>
              <w:rPr>
                <w:rFonts w:ascii="黑体" w:hAnsi="黑体" w:eastAsia="黑体"/>
                <w:bCs/>
                <w:color w:val="auto"/>
                <w:sz w:val="32"/>
                <w:szCs w:val="24"/>
                <w:highlight w:val="none"/>
              </w:rPr>
            </w:pPr>
            <w:r>
              <w:rPr>
                <w:rFonts w:hint="eastAsia" w:ascii="黑体" w:hAnsi="黑体" w:eastAsia="黑体"/>
                <w:bCs/>
                <w:color w:val="auto"/>
                <w:sz w:val="32"/>
                <w:szCs w:val="24"/>
                <w:highlight w:val="none"/>
              </w:rPr>
              <w:t>东莞市石排镇塘尾股份经济联合社</w:t>
            </w:r>
          </w:p>
        </w:tc>
      </w:tr>
    </w:tbl>
    <w:p>
      <w:pPr>
        <w:rPr>
          <w:rFonts w:ascii="Arial" w:hAnsi="Arial" w:eastAsia="黑体" w:cs="Arial"/>
          <w:bCs/>
          <w:color w:val="auto"/>
          <w:sz w:val="28"/>
          <w:highlight w:val="none"/>
        </w:rPr>
      </w:pPr>
      <w:r>
        <w:rPr>
          <w:rFonts w:hint="eastAsia" w:ascii="Arial" w:hAnsi="Arial" w:eastAsia="黑体" w:cs="Arial"/>
          <w:bCs/>
          <w:color w:val="auto"/>
          <w:sz w:val="28"/>
          <w:highlight w:val="none"/>
        </w:rPr>
        <w:t xml:space="preserve"> </w:t>
      </w:r>
    </w:p>
    <w:p>
      <w:pPr>
        <w:jc w:val="center"/>
        <w:rPr>
          <w:rFonts w:ascii="黑体" w:eastAsia="黑体"/>
          <w:color w:val="auto"/>
          <w:szCs w:val="21"/>
          <w:highlight w:val="none"/>
        </w:rPr>
      </w:pPr>
    </w:p>
    <w:p>
      <w:pPr>
        <w:jc w:val="center"/>
        <w:rPr>
          <w:rFonts w:ascii="黑体" w:eastAsia="黑体"/>
          <w:color w:val="auto"/>
          <w:szCs w:val="21"/>
          <w:highlight w:val="none"/>
        </w:rPr>
      </w:pPr>
    </w:p>
    <w:p>
      <w:pPr>
        <w:jc w:val="both"/>
        <w:rPr>
          <w:rFonts w:ascii="黑体" w:eastAsia="黑体"/>
          <w:color w:val="auto"/>
          <w:szCs w:val="21"/>
          <w:highlight w:val="none"/>
        </w:rPr>
      </w:pPr>
    </w:p>
    <w:p>
      <w:pPr>
        <w:jc w:val="center"/>
        <w:rPr>
          <w:rFonts w:ascii="黑体" w:eastAsia="黑体"/>
          <w:color w:val="auto"/>
          <w:sz w:val="52"/>
          <w:szCs w:val="44"/>
          <w:highlight w:val="none"/>
        </w:rPr>
      </w:pPr>
      <w:r>
        <w:rPr>
          <w:rFonts w:hint="eastAsia" w:ascii="黑体" w:eastAsia="黑体"/>
          <w:color w:val="auto"/>
          <w:sz w:val="52"/>
          <w:szCs w:val="44"/>
          <w:highlight w:val="none"/>
        </w:rPr>
        <w:t>三方诚信招标有限公司</w:t>
      </w:r>
    </w:p>
    <w:p>
      <w:pPr>
        <w:jc w:val="center"/>
        <w:rPr>
          <w:rFonts w:ascii="黑体" w:eastAsia="黑体"/>
          <w:color w:val="auto"/>
          <w:sz w:val="52"/>
          <w:szCs w:val="44"/>
          <w:highlight w:val="none"/>
        </w:rPr>
      </w:pPr>
      <w:r>
        <w:rPr>
          <w:rFonts w:hint="eastAsia" w:ascii="黑体" w:eastAsia="黑体"/>
          <w:color w:val="auto"/>
          <w:sz w:val="52"/>
          <w:szCs w:val="44"/>
          <w:highlight w:val="none"/>
        </w:rPr>
        <w:t>东莞分公司</w:t>
      </w:r>
    </w:p>
    <w:p>
      <w:pPr>
        <w:pStyle w:val="23"/>
        <w:rPr>
          <w:color w:val="auto"/>
          <w:sz w:val="32"/>
          <w:szCs w:val="32"/>
          <w:highlight w:val="none"/>
        </w:rPr>
        <w:sectPr>
          <w:headerReference r:id="rId5" w:type="default"/>
          <w:pgSz w:w="11906" w:h="16838"/>
          <w:pgMar w:top="1440" w:right="1800" w:bottom="1440" w:left="1800" w:header="708" w:footer="708" w:gutter="0"/>
          <w:pgNumType w:start="0"/>
          <w:cols w:space="720" w:num="1"/>
          <w:titlePg/>
          <w:docGrid w:type="lines" w:linePitch="360" w:charSpace="0"/>
        </w:sectPr>
      </w:pPr>
    </w:p>
    <w:p>
      <w:pPr>
        <w:pStyle w:val="23"/>
        <w:rPr>
          <w:color w:val="auto"/>
          <w:sz w:val="40"/>
          <w:szCs w:val="40"/>
          <w:highlight w:val="none"/>
        </w:rPr>
      </w:pPr>
      <w:r>
        <w:rPr>
          <w:rFonts w:hint="eastAsia"/>
          <w:color w:val="auto"/>
          <w:sz w:val="40"/>
          <w:szCs w:val="40"/>
          <w:highlight w:val="none"/>
        </w:rPr>
        <w:t>目录</w:t>
      </w:r>
    </w:p>
    <w:p>
      <w:pPr>
        <w:pStyle w:val="12"/>
        <w:tabs>
          <w:tab w:val="right" w:leader="dot" w:pos="8306"/>
          <w:tab w:val="clear" w:pos="8296"/>
        </w:tabs>
        <w:ind w:left="456" w:leftChars="200" w:hanging="16" w:hangingChars="8"/>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_Toc6429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投标邀请书</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_Toc6429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3"/>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_Toc11344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第二部分 相关资料表格</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_Toc11344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_Toc21840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附表一：投标资料表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_Toc21840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_Toc21492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附表二：商务技术评分及价格权重表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_Toc21492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3"/>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_Toc18127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第三部分 用户需求书</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_Toc18127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3"/>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_Toc25260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第四部分 投标人须知</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_Toc25260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_Toc13325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一</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说明</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_Toc13325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_Toc17228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1.适用范围</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_Toc17228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_Toc8986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2.定义</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_Toc8986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_Toc21507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3.货物和服务</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_Toc21507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_Toc9596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4.投标费用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_Toc9596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_Toc17633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5.知识产权</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_Toc17633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_Toc10738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6.关于联合体投标</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_Toc10738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_Toc29934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7.关于分支机构投标</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_Toc29934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_Toc6558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_Toc6558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_Toc32280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8.招标文件的组成</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_Toc32280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_Toc28349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9.招标文件的澄清或修改</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_Toc28349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_Toc16773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三</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投标文件的编制</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_Toc16773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_Toc7734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10.投标文件的语言及度量衡单位</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_Toc7734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_Toc32627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11.投标文件的组成</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_Toc32627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_Toc21118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12.投标文件编制</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_Toc21118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_Toc7944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13.投标报价说明</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_Toc7944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_Toc10906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14.投标人所提供的服务或货物的证明文件</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_Toc10906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_Toc11717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15.★投标有效期</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_Toc11717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_Toc1615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16.★投标保证金</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_Toc1615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_Toc7038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四</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投标文件的递交</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_Toc7038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35</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_Toc28865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17.投标文件的装订，签署，密封和标记</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_Toc28865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35</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_Toc7925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18.迟交的投标文件</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_Toc7925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36</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_Toc1293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19.投标样品（如需提交）</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_Toc1293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36</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_Toc20635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20.投标截止期</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_Toc20635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37</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_Toc17566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21.投标文件的补充、修改与撤回</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_Toc17566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37</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_Toc13311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五</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开标与评标</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_Toc13311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37</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_Toc21842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22.开标</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_Toc21842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37</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_Toc28135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23.评标委员会及评标方法</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_Toc28135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38</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_Toc3500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24.评审原则及评标过程的保密</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_Toc3500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38</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_Toc5179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25.投标文件的初审</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_Toc5179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38</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_Toc10147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26.商务、技术、价格评审（具体评审项目详见投标资料表）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_Toc10147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40</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_Toc11805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27.优惠政策（本项目不适用）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_Toc11805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_Toc30411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28.纪律和保密事项</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_Toc30411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_Toc28130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六</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授予合同</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_Toc28130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_Toc9451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29.合同授予标准</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_Toc9451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_Toc15313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30.发布中标结果</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_Toc15313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_Toc20554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31.合同的签订与履行</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_Toc20554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_Toc8142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32.履约保证金</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_Toc8142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_Toc296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七</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询问或质疑</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_Toc296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_Toc18774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33.询问</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_Toc18774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_Toc22597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34.质疑</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_Toc22597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_Toc12417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八</w:t>
      </w:r>
      <w:r>
        <w:rPr>
          <w:rFonts w:hint="eastAsia" w:ascii="宋体" w:hAnsi="宋体" w:eastAsia="宋体" w:cs="宋体"/>
          <w:bCs/>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其他</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_Toc12417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bCs/>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_Toc9829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35.招标文件的解释权</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_Toc9829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3"/>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_Toc24543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第五部分 合同格式（仅供参考）</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_Toc24543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45</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12"/>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_Toc23857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合同格式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_Toc23857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45</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3"/>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_Toc13929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第六部分  附件－投标文件格式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_Toc13929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48</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_Toc3048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附件1.投标文件目录</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_Toc3048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48</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_Toc10724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附件1-1 评分标准索引表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_Toc10724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49</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_Toc28341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附件2.投标书格式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_Toc28341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50</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_Toc5475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附件3.开标一览表格式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_Toc5475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_Toc15560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附件4. 投标分项报价表格式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_Toc15560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_Toc4283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附件5. 法定代表人证明书格式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_Toc4283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_Toc13693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附件6.法定代表人授权书格式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_Toc13693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_Toc22546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附件7.资格申明</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_Toc22546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55</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_Toc9656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附件8.营业执照</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_Toc9656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56</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_Toc9416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附件9.相关资质证明文件</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_Toc9416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57</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_Toc5888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附件10. 商务条款偏离表格式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_Toc5888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58</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_Toc15315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附件11. 技术规格偏离表格式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_Toc15315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59</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_Toc15830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附件12.重要技术参数（▲）响应表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_Toc15830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60</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_Toc2455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附件13.业绩表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_Toc2455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61</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_Toc20654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附件14. 项目实施方案格式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_Toc20654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_Toc32072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附件15. 实施本项目的有关人员资料表格式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_Toc32072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_Toc31119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附件16.投标货物说明一览表格式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_Toc31119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_Toc10089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附件17.在经营活动中没有重大违法记录的书面声明格式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_Toc10089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65</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_Toc31483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附件18. 中小企业声明函（投标人为中小企业时适用）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_Toc31483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66</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_Toc22867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附件19.《残疾人福利性单位声明函》（残疾人福利性单位适用）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_Toc22867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69</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_Toc8662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附件20. 投标保证金汇入情况说明格式</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_Toc8662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70</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\l _Toc4506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附件21.获取招标文件登记表</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PAGEREF _Toc4506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72</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end"/>
      </w:r>
    </w:p>
    <w:p>
      <w:pPr>
        <w:pStyle w:val="20"/>
        <w:tabs>
          <w:tab w:val="right" w:leader="dot" w:pos="8306"/>
          <w:tab w:val="clear" w:pos="8296"/>
        </w:tabs>
        <w:spacing w:before="72" w:beforeLines="20" w:after="72" w:afterLines="20"/>
        <w:ind w:left="0" w:leftChars="0"/>
        <w:jc w:val="both"/>
        <w:rPr>
          <w:rFonts w:cs="宋体"/>
          <w:color w:val="auto"/>
          <w:szCs w:val="21"/>
          <w:highlight w:val="none"/>
        </w:rPr>
      </w:pPr>
      <w:r>
        <w:rPr>
          <w:rFonts w:hint="eastAsia" w:ascii="宋体" w:hAnsi="宋体" w:eastAsia="宋体" w:cs="宋体"/>
          <w:color w:val="auto"/>
          <w:sz w:val="21"/>
          <w:szCs w:val="21"/>
          <w:highlight w:val="none"/>
          <w:lang w:val="en-US" w:eastAsia="zh-CN" w:bidi="ar-SA"/>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3"/>
        <w:tabs>
          <w:tab w:val="right" w:leader="dot" w:pos="8306"/>
          <w:tab w:val="clear" w:pos="8296"/>
        </w:tabs>
        <w:spacing w:line="240" w:lineRule="auto"/>
        <w:ind w:left="0" w:leftChars="0"/>
        <w:jc w:val="both"/>
        <w:rPr>
          <w:rFonts w:ascii="Cambria" w:hAnsi="Cambria"/>
          <w:b/>
          <w:bCs/>
          <w:color w:val="auto"/>
          <w:sz w:val="28"/>
          <w:szCs w:val="28"/>
          <w:highlight w:val="none"/>
        </w:rPr>
      </w:pPr>
      <w:r>
        <w:rPr>
          <w:rFonts w:hint="eastAsia" w:ascii="Cambria" w:hAnsi="Cambria"/>
          <w:b/>
          <w:bCs/>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6429"/>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三方诚信招标有限公司东莞分公司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rPr>
        <w:t>东莞市石排镇塘尾股份经济联合社</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lang w:eastAsia="zh-CN"/>
        </w:rPr>
        <w:t>石排镇塘尾村视频监控升级改造项目</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lang w:eastAsia="zh-CN"/>
        </w:rPr>
        <w:t>项目编号：0832-SFCX21DG206C</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lang w:eastAsia="zh-CN"/>
        </w:rPr>
        <w:t>石排镇塘尾村视频监控升级改造项目</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rPr>
        <w:t>人民币</w:t>
      </w:r>
      <w:r>
        <w:rPr>
          <w:rFonts w:hint="eastAsia" w:ascii="宋体" w:hAnsi="宋体" w:eastAsia="宋体"/>
          <w:b/>
          <w:color w:val="auto"/>
          <w:sz w:val="21"/>
          <w:szCs w:val="21"/>
          <w:highlight w:val="none"/>
          <w:u w:val="single"/>
          <w:lang w:val="en-US" w:eastAsia="zh-CN"/>
        </w:rPr>
        <w:t>壹佰叁拾捌万伍仟陆佰伍拾陆</w:t>
      </w:r>
      <w:r>
        <w:rPr>
          <w:rFonts w:hint="eastAsia" w:ascii="宋体" w:hAnsi="宋体" w:eastAsia="宋体"/>
          <w:b/>
          <w:color w:val="auto"/>
          <w:sz w:val="21"/>
          <w:szCs w:val="21"/>
          <w:highlight w:val="none"/>
          <w:u w:val="single"/>
        </w:rPr>
        <w:t>元整（¥1</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385</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656</w:t>
      </w:r>
      <w:r>
        <w:rPr>
          <w:rFonts w:hint="eastAsia" w:ascii="宋体" w:hAnsi="宋体" w:eastAsia="宋体"/>
          <w:b/>
          <w:color w:val="auto"/>
          <w:sz w:val="21"/>
          <w:szCs w:val="21"/>
          <w:highlight w:val="none"/>
          <w:u w:val="single"/>
          <w:lang w:val="en-US" w:eastAsia="zh-CN"/>
        </w:rPr>
        <w:t>.00</w:t>
      </w:r>
      <w:r>
        <w:rPr>
          <w:rFonts w:hint="eastAsia" w:ascii="宋体" w:hAnsi="宋体" w:eastAsia="宋体"/>
          <w:b/>
          <w:color w:val="auto"/>
          <w:sz w:val="21"/>
          <w:szCs w:val="21"/>
          <w:highlight w:val="none"/>
          <w:u w:val="single"/>
        </w:rPr>
        <w:t>）</w:t>
      </w:r>
      <w:r>
        <w:rPr>
          <w:rFonts w:hint="eastAsia" w:ascii="宋体" w:hAnsi="宋体" w:eastAsia="宋体"/>
          <w:color w:val="auto"/>
          <w:sz w:val="21"/>
          <w:szCs w:val="21"/>
          <w:highlight w:val="none"/>
        </w:rPr>
        <w:t>。</w:t>
      </w:r>
    </w:p>
    <w:p>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投标人（含其上级或总公司）具有省级或以上公安部门颁发的《安全技术防范系统设计、施工、维修资格证》叁级或以上资质（非广东省企业须提供所在地省（自治区、直辖市）公安厅（局）发放的有效的叁级或以上安全技术防范系统设计、施工、维修资格证书，或者是省级或以上安防行业协会颁发的有效的叁级或以上安防工程企业设计施工维护能力证书及广东省公安部门颁发的同等级备案证明）。</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三、项目公示时间、报名时间、地点、方式及招标文件售价</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2、报名</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3、项目报名地点：东莞市南城街道鸿福西路81号国际商会大厦706室。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联系人：黄雯静</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4、报名方式：现场报名。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投标人在购买招标文件时须提供如下证明材料：《营业执照》复印件（加盖公章）或《事业单位法人证书》复印件（加盖公章）或其他主体证书复印件（加盖公章）.</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5、招标文件售价：每套人民币200元。</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6、购买了招标文件，而不参加投标的投标人，请在开标日期三日前以纸质版形式通知采购代理机构。</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1、递交投标文件时间：2021年</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rPr>
        <w:t>下午14：</w:t>
      </w: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rPr>
        <w:t>0～14：</w:t>
      </w:r>
      <w:r>
        <w:rPr>
          <w:rFonts w:hint="eastAsia" w:ascii="宋体" w:hAnsi="宋体" w:eastAsia="宋体"/>
          <w:bCs/>
          <w:color w:val="auto"/>
          <w:sz w:val="21"/>
          <w:szCs w:val="21"/>
          <w:highlight w:val="none"/>
          <w:lang w:val="en-US" w:eastAsia="zh-CN"/>
        </w:rPr>
        <w:t>0</w:t>
      </w:r>
      <w:r>
        <w:rPr>
          <w:rFonts w:hint="eastAsia" w:ascii="宋体" w:hAnsi="宋体" w:eastAsia="宋体"/>
          <w:bCs/>
          <w:color w:val="auto"/>
          <w:sz w:val="21"/>
          <w:szCs w:val="21"/>
          <w:highlight w:val="none"/>
        </w:rPr>
        <w:t>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及开标时间：2021年</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rPr>
        <w:t>下午1</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lang w:val="en-US" w:eastAsia="zh-CN"/>
        </w:rPr>
        <w:t>0</w:t>
      </w:r>
      <w:r>
        <w:rPr>
          <w:rFonts w:hint="eastAsia" w:ascii="宋体" w:hAnsi="宋体" w:eastAsia="宋体"/>
          <w:bCs/>
          <w:color w:val="auto"/>
          <w:sz w:val="21"/>
          <w:szCs w:val="21"/>
          <w:highlight w:val="none"/>
        </w:rPr>
        <w:t>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bCs/>
          <w:color w:val="auto"/>
          <w:sz w:val="21"/>
          <w:szCs w:val="21"/>
          <w:highlight w:val="none"/>
        </w:rPr>
        <w:t>东莞市石排镇人民政府(石排大道497号)原市民办事中心二楼集体资产交易中心。</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采购人联系人：李先生</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地址：东莞市石排镇塘尾村</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color w:val="auto"/>
          <w:sz w:val="21"/>
          <w:szCs w:val="21"/>
          <w:highlight w:val="none"/>
        </w:rPr>
        <w:t>0769-86651703</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采购代理机构名称：三方诚信招标有限公司东莞分公司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地址：东莞市南城街道鸿福西路81号国际商会大厦706室。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采购代理机构联系人：黎灼峰</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E－ mail：406288269@qq.com</w:t>
      </w:r>
    </w:p>
    <w:p>
      <w:pPr>
        <w:spacing w:after="0" w:line="360" w:lineRule="auto"/>
        <w:ind w:firstLine="440" w:firstLineChars="200"/>
        <w:rPr>
          <w:rFonts w:eastAsia="宋体"/>
          <w:color w:val="auto"/>
          <w:highlight w:val="none"/>
        </w:rPr>
      </w:pPr>
    </w:p>
    <w:p>
      <w:pPr>
        <w:spacing w:line="360" w:lineRule="auto"/>
        <w:ind w:right="788" w:rightChars="358"/>
        <w:jc w:val="both"/>
        <w:rPr>
          <w:color w:val="auto"/>
          <w:highlight w:val="none"/>
        </w:rPr>
      </w:pPr>
    </w:p>
    <w:p>
      <w:pPr>
        <w:spacing w:line="360" w:lineRule="auto"/>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三方诚信招标有限公司东莞分公司</w:t>
      </w:r>
    </w:p>
    <w:p>
      <w:pPr>
        <w:spacing w:line="360" w:lineRule="auto"/>
        <w:ind w:left="6479" w:leftChars="294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2021年8月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3"/>
        <w:spacing w:before="0" w:after="0" w:line="240" w:lineRule="auto"/>
        <w:rPr>
          <w:color w:val="auto"/>
          <w:sz w:val="28"/>
          <w:szCs w:val="28"/>
          <w:highlight w:val="none"/>
        </w:rPr>
      </w:pPr>
      <w:bookmarkStart w:id="1" w:name="_Toc11344"/>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21840"/>
      <w:r>
        <w:rPr>
          <w:rFonts w:hint="eastAsia" w:ascii="宋体" w:hAnsi="宋体" w:eastAsia="宋体" w:cs="宋体"/>
          <w:color w:val="auto"/>
          <w:sz w:val="24"/>
          <w:szCs w:val="24"/>
          <w:highlight w:val="none"/>
        </w:rPr>
        <w:t>附表一：投标资料表</w:t>
      </w:r>
      <w:bookmarkEnd w:id="2"/>
    </w:p>
    <w:tbl>
      <w:tblPr>
        <w:tblStyle w:val="3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7"/>
        <w:gridCol w:w="1157"/>
        <w:gridCol w:w="3768"/>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cantSplit/>
          <w:trHeight w:val="551"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Cs/>
                <w:color w:val="auto"/>
                <w:sz w:val="21"/>
                <w:szCs w:val="21"/>
                <w:highlight w:val="none"/>
              </w:rPr>
            </w:pPr>
            <w:r>
              <w:rPr>
                <w:rFonts w:hint="eastAsia" w:ascii="宋体" w:hAnsi="宋体" w:eastAsia="宋体"/>
                <w:bCs/>
                <w:color w:val="auto"/>
                <w:sz w:val="21"/>
                <w:szCs w:val="21"/>
                <w:highlight w:val="none"/>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工程</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服务</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自筹资金。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3"/>
            <w:vAlign w:val="center"/>
          </w:tcPr>
          <w:p>
            <w:pPr>
              <w:spacing w:after="0"/>
              <w:rPr>
                <w:rFonts w:ascii="宋体" w:hAnsi="宋体" w:eastAsia="宋体"/>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三方诚信招标网</w:t>
            </w:r>
          </w:p>
        </w:tc>
        <w:tc>
          <w:tcPr>
            <w:tcW w:w="376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Cs/>
                <w:color w:val="auto"/>
                <w:sz w:val="21"/>
                <w:szCs w:val="21"/>
                <w:highlight w:val="none"/>
              </w:rPr>
              <w:t>http://www.sfcx.cn/</w:t>
            </w:r>
          </w:p>
        </w:tc>
        <w:tc>
          <w:tcPr>
            <w:tcW w:w="3768"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cantSplit/>
          <w:trHeight w:val="845"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w:t>
            </w:r>
            <w:r>
              <w:rPr>
                <w:rFonts w:hint="eastAsia" w:ascii="宋体" w:hAnsi="宋体" w:eastAsia="宋体"/>
                <w:b/>
                <w:bCs/>
                <w:color w:val="auto"/>
                <w:sz w:val="21"/>
                <w:szCs w:val="21"/>
                <w:highlight w:val="none"/>
              </w:rPr>
              <w:t>人民币壹万伍仟元整（￥15,000.00）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收款人：三方诚信招标有限公司东莞分公司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开户行：广发银行股份有限公司东莞南城支行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号：6232590699050038619</w:t>
            </w:r>
            <w:r>
              <w:rPr>
                <w:rFonts w:hint="eastAsia" w:ascii="宋体" w:hAnsi="宋体" w:eastAsia="宋体"/>
                <w:color w:val="auto"/>
                <w:sz w:val="21"/>
                <w:szCs w:val="21"/>
                <w:highlight w:val="none"/>
              </w:rPr>
              <w:t xml:space="preserve"> </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3"/>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0769-21682660-801。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3"/>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4"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8" w:type="dxa"/>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7"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5"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7"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5"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7"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5"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7"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5"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7"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5"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857"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8" w:hRule="atLeast"/>
        </w:trPr>
        <w:tc>
          <w:tcPr>
            <w:tcW w:w="878" w:type="dxa"/>
            <w:vMerge w:val="restart"/>
            <w:vAlign w:val="center"/>
          </w:tcPr>
          <w:p>
            <w:pPr>
              <w:spacing w:after="0"/>
              <w:jc w:val="both"/>
              <w:rPr>
                <w:rFonts w:ascii="宋体" w:hAnsi="宋体" w:eastAsia="宋体"/>
                <w:color w:val="auto"/>
                <w:sz w:val="21"/>
                <w:szCs w:val="21"/>
                <w:highlight w:val="none"/>
              </w:rPr>
            </w:pPr>
          </w:p>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18（本项目不适用）</w:t>
            </w: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cantSplit/>
          <w:trHeight w:val="817"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19</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20</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697"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Ex>
        <w:trPr>
          <w:trHeight w:val="820" w:hRule="atLeast"/>
        </w:trPr>
        <w:tc>
          <w:tcPr>
            <w:tcW w:w="8410" w:type="dxa"/>
            <w:gridSpan w:val="4"/>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rPr>
          <w:rFonts w:ascii="宋体" w:hAnsi="宋体" w:eastAsia="宋体" w:cs="宋体"/>
          <w:color w:val="auto"/>
          <w:sz w:val="24"/>
          <w:szCs w:val="24"/>
          <w:highlight w:val="none"/>
        </w:rPr>
      </w:pPr>
    </w:p>
    <w:p>
      <w:pPr>
        <w:pStyle w:val="9"/>
        <w:rPr>
          <w:color w:val="auto"/>
          <w:szCs w:val="24"/>
          <w:highlight w:val="none"/>
        </w:rPr>
      </w:pPr>
    </w:p>
    <w:p>
      <w:pPr>
        <w:jc w:val="both"/>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21492"/>
      <w:r>
        <w:rPr>
          <w:rFonts w:hint="eastAsia" w:ascii="宋体" w:hAnsi="宋体" w:eastAsia="宋体" w:cs="宋体"/>
          <w:color w:val="auto"/>
          <w:sz w:val="24"/>
          <w:szCs w:val="24"/>
          <w:highlight w:val="none"/>
        </w:rPr>
        <w:t>附表二：商务技术评分及价格权重表</w:t>
      </w:r>
      <w:bookmarkEnd w:id="3"/>
    </w:p>
    <w:tbl>
      <w:tblPr>
        <w:tblStyle w:val="31"/>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32"/>
        <w:gridCol w:w="798"/>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24" w:type="dxa"/>
            <w:vAlign w:val="center"/>
          </w:tcPr>
          <w:p>
            <w:pPr>
              <w:widowControl w:val="0"/>
              <w:adjustRightInd/>
              <w:snapToGrid/>
              <w:spacing w:after="0"/>
              <w:jc w:val="center"/>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序号</w:t>
            </w:r>
          </w:p>
        </w:tc>
        <w:tc>
          <w:tcPr>
            <w:tcW w:w="1432" w:type="dxa"/>
            <w:vAlign w:val="center"/>
          </w:tcPr>
          <w:p>
            <w:pPr>
              <w:widowControl w:val="0"/>
              <w:adjustRightInd/>
              <w:snapToGrid/>
              <w:spacing w:after="0"/>
              <w:jc w:val="center"/>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评分内容</w:t>
            </w:r>
          </w:p>
        </w:tc>
        <w:tc>
          <w:tcPr>
            <w:tcW w:w="798" w:type="dxa"/>
            <w:vAlign w:val="center"/>
          </w:tcPr>
          <w:p>
            <w:pPr>
              <w:widowControl w:val="0"/>
              <w:adjustRightInd/>
              <w:snapToGrid/>
              <w:spacing w:after="0"/>
              <w:jc w:val="center"/>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分值</w:t>
            </w:r>
          </w:p>
        </w:tc>
        <w:tc>
          <w:tcPr>
            <w:tcW w:w="5724" w:type="dxa"/>
            <w:vAlign w:val="center"/>
          </w:tcPr>
          <w:p>
            <w:pPr>
              <w:widowControl w:val="0"/>
              <w:adjustRightInd/>
              <w:snapToGrid/>
              <w:spacing w:after="0"/>
              <w:jc w:val="center"/>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678" w:type="dxa"/>
            <w:gridSpan w:val="4"/>
            <w:vAlign w:val="center"/>
          </w:tcPr>
          <w:p>
            <w:pPr>
              <w:widowControl w:val="0"/>
              <w:adjustRightInd/>
              <w:snapToGrid/>
              <w:spacing w:after="0"/>
              <w:jc w:val="center"/>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商务评分（30分）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1432"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投标人认证及荣誉情况</w:t>
            </w: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12分</w:t>
            </w:r>
          </w:p>
        </w:tc>
        <w:tc>
          <w:tcPr>
            <w:tcW w:w="5724" w:type="dxa"/>
            <w:vAlign w:val="center"/>
          </w:tcPr>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（1）投标人（含其上级分公司或总公司）具有由国家认证认可监督管理部门批准设立的认证机构颁发并在有效期内的：</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①质量管理体系认证证书；</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②环境管理体系认证证书；</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③职业健康安全管理体系认证证书；</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④信息技术服务管理体系认证证书；</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fldChar w:fldCharType="begin"/>
            </w:r>
            <w:r>
              <w:rPr>
                <w:rFonts w:hint="eastAsia" w:ascii="宋体" w:hAnsi="宋体" w:eastAsia="宋体" w:cs="Times New Roman"/>
                <w:color w:val="auto"/>
                <w:kern w:val="2"/>
                <w:sz w:val="21"/>
                <w:szCs w:val="21"/>
                <w:highlight w:val="none"/>
              </w:rPr>
              <w:instrText xml:space="preserve"> = 5 \* GB3 </w:instrText>
            </w:r>
            <w:r>
              <w:rPr>
                <w:rFonts w:hint="eastAsia" w:ascii="宋体" w:hAnsi="宋体" w:eastAsia="宋体" w:cs="Times New Roman"/>
                <w:color w:val="auto"/>
                <w:kern w:val="2"/>
                <w:sz w:val="21"/>
                <w:szCs w:val="21"/>
                <w:highlight w:val="none"/>
              </w:rPr>
              <w:fldChar w:fldCharType="separate"/>
            </w:r>
            <w:r>
              <w:rPr>
                <w:rFonts w:hint="eastAsia" w:ascii="宋体" w:hAnsi="宋体" w:eastAsia="宋体" w:cs="Times New Roman"/>
                <w:color w:val="auto"/>
                <w:kern w:val="2"/>
                <w:sz w:val="21"/>
                <w:szCs w:val="21"/>
                <w:highlight w:val="none"/>
              </w:rPr>
              <w:t>⑤</w:t>
            </w:r>
            <w:r>
              <w:rPr>
                <w:rFonts w:hint="eastAsia" w:ascii="宋体" w:hAnsi="宋体" w:eastAsia="宋体" w:cs="Times New Roman"/>
                <w:color w:val="auto"/>
                <w:kern w:val="2"/>
                <w:sz w:val="21"/>
                <w:szCs w:val="21"/>
                <w:highlight w:val="none"/>
              </w:rPr>
              <w:fldChar w:fldCharType="end"/>
            </w:r>
            <w:r>
              <w:rPr>
                <w:rFonts w:hint="eastAsia" w:ascii="宋体" w:hAnsi="宋体" w:eastAsia="宋体" w:cs="Times New Roman"/>
                <w:color w:val="auto"/>
                <w:kern w:val="2"/>
                <w:sz w:val="21"/>
                <w:szCs w:val="21"/>
                <w:highlight w:val="none"/>
              </w:rPr>
              <w:t>信息安全管理体系认证证书；</w:t>
            </w:r>
          </w:p>
          <w:p>
            <w:pPr>
              <w:widowControl w:val="0"/>
              <w:adjustRightInd/>
              <w:snapToGrid/>
              <w:spacing w:after="0"/>
              <w:ind w:firstLine="420" w:firstLineChars="200"/>
              <w:jc w:val="both"/>
              <w:rPr>
                <w:rFonts w:ascii="宋体" w:hAnsi="宋体" w:eastAsia="宋体" w:cs="Times New Roman"/>
                <w:bCs/>
                <w:color w:val="auto"/>
                <w:kern w:val="2"/>
                <w:sz w:val="21"/>
                <w:szCs w:val="21"/>
                <w:highlight w:val="none"/>
                <w:lang w:val="zh-CN"/>
              </w:rPr>
            </w:pPr>
            <w:r>
              <w:rPr>
                <w:rFonts w:hint="eastAsia" w:ascii="宋体" w:hAnsi="宋体" w:eastAsia="宋体" w:cs="Times New Roman"/>
                <w:color w:val="auto"/>
                <w:kern w:val="2"/>
                <w:sz w:val="21"/>
                <w:szCs w:val="21"/>
                <w:highlight w:val="none"/>
              </w:rPr>
              <w:t>以上每个证书得2分，满分10分。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（2）投标人（含其上级分公司或总公司）获得过省级（或以上）行政部门颁发的科学技术进步奖的，每个得1分，本项最高得2分，无不得分。</w:t>
            </w:r>
          </w:p>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注：须提供以上有效证书复印件加盖投标人公章。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w:t>
            </w:r>
          </w:p>
        </w:tc>
        <w:tc>
          <w:tcPr>
            <w:tcW w:w="1432"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投标人业绩</w:t>
            </w: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18分</w:t>
            </w:r>
          </w:p>
        </w:tc>
        <w:tc>
          <w:tcPr>
            <w:tcW w:w="5724" w:type="dxa"/>
            <w:vAlign w:val="center"/>
          </w:tcPr>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自2017年1月至今，投标人须具有视频监控建设的相关项目案例，每个项目得3分，共18分。</w:t>
            </w:r>
          </w:p>
          <w:p>
            <w:pPr>
              <w:widowControl w:val="0"/>
              <w:adjustRightInd/>
              <w:snapToGrid/>
              <w:spacing w:after="0"/>
              <w:ind w:firstLine="422"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注：以上须提供中标通知书及合同关键页复印件加盖公章，合同须为与采购单位直接签订，分包、转包等合同不予计分，计算时间以合同签订时间为准。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8" w:type="dxa"/>
            <w:gridSpan w:val="4"/>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技术评分（60分）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24"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1</w:t>
            </w:r>
          </w:p>
        </w:tc>
        <w:tc>
          <w:tcPr>
            <w:tcW w:w="1432"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项目技术</w:t>
            </w:r>
          </w:p>
          <w:p>
            <w:pPr>
              <w:widowControl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kern w:val="2"/>
                <w:sz w:val="21"/>
                <w:szCs w:val="21"/>
                <w:highlight w:val="none"/>
              </w:rPr>
              <w:t>方案</w:t>
            </w:r>
          </w:p>
        </w:tc>
        <w:tc>
          <w:tcPr>
            <w:tcW w:w="798" w:type="dxa"/>
            <w:vAlign w:val="center"/>
          </w:tcPr>
          <w:p>
            <w:pPr>
              <w:widowControl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kern w:val="2"/>
                <w:sz w:val="21"/>
                <w:szCs w:val="21"/>
                <w:highlight w:val="none"/>
              </w:rPr>
              <w:t>10分</w:t>
            </w:r>
          </w:p>
        </w:tc>
        <w:tc>
          <w:tcPr>
            <w:tcW w:w="5724" w:type="dxa"/>
            <w:vAlign w:val="center"/>
          </w:tcPr>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根据投标人的项目总体设计方案对用户需求响应的完整性、准确性、先进性、合理性、服务定位清晰程度及等进行评审：</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技术方案详细且优于用户所有要求，方案非常详尽具体，可行性强，服务定位清晰程度高，充分利用现有通信资源，得10分；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技术方案完全满足用户要求，方案较为详尽具体，可行性良好，服务定位清晰程度良好，可利用现有通信资源，得6分；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技术方案基本满足用户要求，方案具体，可行性一般，服务定位清晰程度一般，可利用部分现有通信资源，得3分；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技术方案不详细具体，可行性差，服务定位清晰程度差，无法利用现有通信资源，得1分；</w:t>
            </w:r>
          </w:p>
          <w:p>
            <w:pPr>
              <w:widowControl w:val="0"/>
              <w:adjustRightInd/>
              <w:snapToGrid/>
              <w:spacing w:after="0"/>
              <w:ind w:firstLine="420" w:firstLineChars="200"/>
              <w:jc w:val="both"/>
              <w:rPr>
                <w:color w:val="auto"/>
                <w:highlight w:val="none"/>
              </w:rPr>
            </w:pPr>
            <w:r>
              <w:rPr>
                <w:rFonts w:hint="eastAsia" w:ascii="宋体" w:hAnsi="宋体" w:eastAsia="宋体" w:cs="Times New Roman"/>
                <w:color w:val="auto"/>
                <w:kern w:val="2"/>
                <w:sz w:val="21"/>
                <w:szCs w:val="21"/>
                <w:highlight w:val="none"/>
              </w:rPr>
              <w:t>没有提供技术方案的不得分。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24" w:type="dxa"/>
            <w:vAlign w:val="center"/>
          </w:tcPr>
          <w:p>
            <w:pPr>
              <w:widowControl w:val="0"/>
              <w:adjustRightInd/>
              <w:snapToGrid/>
              <w:spacing w:after="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432" w:type="dxa"/>
            <w:vAlign w:val="center"/>
          </w:tcPr>
          <w:p>
            <w:pPr>
              <w:widowControl w:val="0"/>
              <w:adjustRightInd/>
              <w:snapToGrid/>
              <w:spacing w:after="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项目实施方案</w:t>
            </w:r>
          </w:p>
        </w:tc>
        <w:tc>
          <w:tcPr>
            <w:tcW w:w="798" w:type="dxa"/>
            <w:vAlign w:val="center"/>
          </w:tcPr>
          <w:p>
            <w:pPr>
              <w:widowControl w:val="0"/>
              <w:adjustRightInd/>
              <w:snapToGrid/>
              <w:spacing w:after="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10分</w:t>
            </w:r>
          </w:p>
        </w:tc>
        <w:tc>
          <w:tcPr>
            <w:tcW w:w="5724" w:type="dxa"/>
            <w:vAlign w:val="center"/>
          </w:tcPr>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根据投标人提供的项目方案【</w:t>
            </w:r>
            <w:r>
              <w:rPr>
                <w:rFonts w:hint="eastAsia" w:ascii="宋体" w:hAnsi="宋体" w:eastAsia="宋体" w:cs="Times New Roman"/>
                <w:color w:val="auto"/>
                <w:kern w:val="2"/>
                <w:sz w:val="21"/>
                <w:szCs w:val="21"/>
                <w:highlight w:val="none"/>
                <w:lang w:val="en-US" w:eastAsia="zh-CN"/>
              </w:rPr>
              <w:t>包括但不限于</w:t>
            </w:r>
            <w:r>
              <w:rPr>
                <w:rFonts w:hint="eastAsia" w:ascii="宋体" w:hAnsi="宋体" w:eastAsia="宋体" w:cs="Times New Roman"/>
                <w:color w:val="auto"/>
                <w:kern w:val="2"/>
                <w:sz w:val="21"/>
                <w:szCs w:val="21"/>
                <w:highlight w:val="none"/>
              </w:rPr>
              <w:t>进度计划安排、安装调试方案</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rPr>
              <w:t xml:space="preserve">进度计划；项目管理、日常巡查；人员安排】进行评分： </w:t>
            </w:r>
          </w:p>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项目实施方案详尽完整、科学合理、可行性高的，得10分；</w:t>
            </w:r>
          </w:p>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项目实施方案较完整、科学合理，可行性较高的，得6分；</w:t>
            </w:r>
          </w:p>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项目实施方案基本完整、基本可行的，得3分；</w:t>
            </w:r>
          </w:p>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项目实施方案缺乏合理性的，得1分；</w:t>
            </w:r>
          </w:p>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24"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3</w:t>
            </w:r>
          </w:p>
        </w:tc>
        <w:tc>
          <w:tcPr>
            <w:tcW w:w="1432"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rPr>
              <w:t>质量保证措施</w:t>
            </w: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rPr>
              <w:t>10</w:t>
            </w:r>
            <w:r>
              <w:rPr>
                <w:rFonts w:hint="eastAsia" w:ascii="宋体" w:hAnsi="宋体" w:eastAsia="宋体" w:cs="Times New Roman"/>
                <w:color w:val="auto"/>
                <w:kern w:val="2"/>
                <w:sz w:val="21"/>
                <w:szCs w:val="21"/>
                <w:highlight w:val="none"/>
              </w:rPr>
              <w:t>分</w:t>
            </w:r>
          </w:p>
        </w:tc>
        <w:tc>
          <w:tcPr>
            <w:tcW w:w="5724" w:type="dxa"/>
            <w:vAlign w:val="center"/>
          </w:tcPr>
          <w:p>
            <w:pPr>
              <w:widowControl w:val="0"/>
              <w:adjustRightInd/>
              <w:snapToGrid/>
              <w:spacing w:before="72" w:beforeLines="20" w:after="72" w:afterLines="20"/>
              <w:ind w:firstLine="420" w:firstLineChars="200"/>
              <w:jc w:val="both"/>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根据投标人是否能根据本项目要求提供详细的服务质量方案保证目标及分期目标，并提供具体可行、详细的保证措施等进行综合评审。</w:t>
            </w:r>
          </w:p>
          <w:p>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质量保证措施方案科学完整，可行性强，得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pPr>
              <w:widowControl w:val="0"/>
              <w:adjustRightInd/>
              <w:snapToGrid/>
              <w:spacing w:before="72" w:beforeLines="20" w:after="72" w:afterLines="20"/>
              <w:ind w:firstLine="420" w:firstLineChars="200"/>
              <w:jc w:val="both"/>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质量保证措施方案科学完整，可行性</w:t>
            </w:r>
            <w:r>
              <w:rPr>
                <w:rFonts w:hint="eastAsia" w:ascii="宋体" w:hAnsi="宋体" w:eastAsia="宋体" w:cs="宋体"/>
                <w:bCs/>
                <w:color w:val="auto"/>
                <w:kern w:val="2"/>
                <w:sz w:val="21"/>
                <w:szCs w:val="21"/>
                <w:highlight w:val="none"/>
                <w:lang w:val="en-US" w:eastAsia="zh-CN"/>
              </w:rPr>
              <w:t>良好</w:t>
            </w:r>
            <w:r>
              <w:rPr>
                <w:rFonts w:hint="eastAsia" w:ascii="宋体" w:hAnsi="宋体" w:eastAsia="宋体" w:cs="宋体"/>
                <w:bCs/>
                <w:color w:val="auto"/>
                <w:kern w:val="2"/>
                <w:sz w:val="21"/>
                <w:szCs w:val="21"/>
                <w:highlight w:val="none"/>
                <w:lang w:val="zh-CN"/>
              </w:rPr>
              <w:t>，得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分。</w:t>
            </w:r>
          </w:p>
          <w:p>
            <w:pPr>
              <w:widowControl w:val="0"/>
              <w:adjustRightInd/>
              <w:snapToGrid/>
              <w:spacing w:before="72" w:beforeLines="20" w:after="72" w:afterLines="20"/>
              <w:ind w:firstLine="420" w:firstLineChars="200"/>
              <w:jc w:val="both"/>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质量保证措施方案基本完整，可行性一般，得</w:t>
            </w:r>
            <w:r>
              <w:rPr>
                <w:rFonts w:hint="eastAsia" w:ascii="宋体" w:hAnsi="宋体" w:eastAsia="宋体" w:cs="宋体"/>
                <w:bCs/>
                <w:color w:val="auto"/>
                <w:kern w:val="2"/>
                <w:sz w:val="21"/>
                <w:szCs w:val="21"/>
                <w:highlight w:val="none"/>
              </w:rPr>
              <w:t>3</w:t>
            </w:r>
            <w:r>
              <w:rPr>
                <w:rFonts w:hint="eastAsia" w:ascii="宋体" w:hAnsi="宋体" w:eastAsia="宋体" w:cs="宋体"/>
                <w:bCs/>
                <w:color w:val="auto"/>
                <w:kern w:val="2"/>
                <w:sz w:val="21"/>
                <w:szCs w:val="21"/>
                <w:highlight w:val="none"/>
                <w:lang w:val="zh-CN"/>
              </w:rPr>
              <w:t>分。</w:t>
            </w:r>
          </w:p>
          <w:p>
            <w:pPr>
              <w:widowControl w:val="0"/>
              <w:adjustRightInd/>
              <w:snapToGrid/>
              <w:spacing w:before="72" w:beforeLines="20" w:after="72" w:afterLines="20"/>
              <w:ind w:firstLine="420" w:firstLineChars="200"/>
              <w:jc w:val="both"/>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质量保证措施方案简单，可行性差，得1分。</w:t>
            </w:r>
          </w:p>
          <w:p>
            <w:pPr>
              <w:widowControl w:val="0"/>
              <w:adjustRightInd/>
              <w:snapToGrid/>
              <w:spacing w:before="72" w:beforeLines="20" w:after="72" w:afterLines="2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zh-CN"/>
              </w:rPr>
              <w:t>无提供质量保证措施，不得分。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24" w:type="dxa"/>
            <w:vMerge w:val="restart"/>
            <w:vAlign w:val="center"/>
          </w:tcPr>
          <w:p>
            <w:pPr>
              <w:widowControl w:val="0"/>
              <w:adjustRightInd/>
              <w:snapToGrid/>
              <w:spacing w:after="0"/>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val="en-US" w:eastAsia="zh-CN"/>
              </w:rPr>
              <w:t>4</w:t>
            </w:r>
          </w:p>
        </w:tc>
        <w:tc>
          <w:tcPr>
            <w:tcW w:w="1432" w:type="dxa"/>
            <w:vMerge w:val="restart"/>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人员配置</w:t>
            </w: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10分</w:t>
            </w:r>
          </w:p>
        </w:tc>
        <w:tc>
          <w:tcPr>
            <w:tcW w:w="5724" w:type="dxa"/>
            <w:vAlign w:val="center"/>
          </w:tcPr>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（1）投标人拟投入的项目经理具有：</w:t>
            </w:r>
          </w:p>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①人社部门或中国电子信息行业联合会或中国项目管理研究委员会颁发的项目经理证书的得3分，无得0分；</w:t>
            </w:r>
          </w:p>
          <w:p>
            <w:pPr>
              <w:widowControl w:val="0"/>
              <w:autoSpaceDE w:val="0"/>
              <w:autoSpaceDN w:val="0"/>
              <w:adjustRightInd/>
              <w:snapToGrid/>
              <w:spacing w:after="0"/>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②人社部门或工业和信息化部门颁发的通信类（或电子类）高级技师证书的得2分，无得0分；</w:t>
            </w:r>
          </w:p>
          <w:p>
            <w:pPr>
              <w:widowControl w:val="0"/>
              <w:autoSpaceDE w:val="0"/>
              <w:autoSpaceDN w:val="0"/>
              <w:adjustRightInd/>
              <w:snapToGrid/>
              <w:spacing w:after="0"/>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③人社部门或信产部颁发的通信类（或电子类）高级或以上工程师证书的，得3分，无得0分；</w:t>
            </w:r>
          </w:p>
          <w:p>
            <w:pPr>
              <w:widowControl w:val="0"/>
              <w:autoSpaceDE w:val="0"/>
              <w:autoSpaceDN w:val="0"/>
              <w:adjustRightInd/>
              <w:snapToGrid/>
              <w:spacing w:after="0"/>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④工业和信息化部教育与考试中心颁发的高级网络与信息安全管理师证书的，得2分，无得0分。</w:t>
            </w:r>
          </w:p>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注：须提供以上有效证书复印件及社会保障部门出具的近半年中任意两个月（不含开标当月）投标单位为其连续缴纳社会保险的有效凭证的复印件加盖投标人公章。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24" w:type="dxa"/>
            <w:vMerge w:val="continue"/>
            <w:vAlign w:val="center"/>
          </w:tcPr>
          <w:p>
            <w:pPr>
              <w:widowControl w:val="0"/>
              <w:adjustRightInd/>
              <w:snapToGrid/>
              <w:spacing w:after="0"/>
              <w:jc w:val="center"/>
              <w:rPr>
                <w:rFonts w:ascii="宋体" w:hAnsi="宋体" w:eastAsia="宋体" w:cs="Times New Roman"/>
                <w:color w:val="auto"/>
                <w:kern w:val="2"/>
                <w:sz w:val="21"/>
                <w:szCs w:val="21"/>
                <w:highlight w:val="none"/>
              </w:rPr>
            </w:pPr>
          </w:p>
        </w:tc>
        <w:tc>
          <w:tcPr>
            <w:tcW w:w="1432" w:type="dxa"/>
            <w:vMerge w:val="continue"/>
            <w:vAlign w:val="center"/>
          </w:tcPr>
          <w:p>
            <w:pPr>
              <w:widowControl w:val="0"/>
              <w:adjustRightInd/>
              <w:snapToGrid/>
              <w:spacing w:after="0"/>
              <w:jc w:val="center"/>
              <w:rPr>
                <w:rFonts w:ascii="宋体" w:hAnsi="宋体" w:eastAsia="宋体" w:cs="Times New Roman"/>
                <w:color w:val="auto"/>
                <w:kern w:val="2"/>
                <w:sz w:val="21"/>
                <w:szCs w:val="21"/>
                <w:highlight w:val="none"/>
              </w:rPr>
            </w:pP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10分</w:t>
            </w:r>
          </w:p>
        </w:tc>
        <w:tc>
          <w:tcPr>
            <w:tcW w:w="5724" w:type="dxa"/>
            <w:vAlign w:val="center"/>
          </w:tcPr>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（2）投标人拟投入人员（除项目经理外）：</w:t>
            </w:r>
          </w:p>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①技术人员中具有人社部门或工业和信息化部门颁发的高级技师证书（通信类或电子类）的，每一名得2.5分，最高得5分。</w:t>
            </w:r>
          </w:p>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②技术人员具有人社部门或信产部颁发的高级工程师证书（通信类或电子类）的，每一名得2.5分，最高得5分。</w:t>
            </w:r>
          </w:p>
          <w:p>
            <w:pPr>
              <w:widowControl w:val="0"/>
              <w:adjustRightInd/>
              <w:snapToGrid/>
              <w:spacing w:after="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注：须提供以上有效证书复印件及社会保障部门出具的近半年中任意两个月（不含开标当月）投标单位为其连续缴纳社会保险的有效凭证的复印件加盖投标人公章。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widowControl w:val="0"/>
              <w:adjustRightInd/>
              <w:snapToGrid/>
              <w:spacing w:after="0"/>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val="en-US" w:eastAsia="zh-CN"/>
              </w:rPr>
              <w:t>5</w:t>
            </w:r>
          </w:p>
        </w:tc>
        <w:tc>
          <w:tcPr>
            <w:tcW w:w="1432"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售后服务承诺</w:t>
            </w: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10分</w:t>
            </w:r>
          </w:p>
        </w:tc>
        <w:tc>
          <w:tcPr>
            <w:tcW w:w="5724" w:type="dxa"/>
            <w:vAlign w:val="center"/>
          </w:tcPr>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根据投标人对项目安排的售后服务响应、应急服务响应、故障响应、质量保证体系及措施、服务承诺等进行综合评审：</w:t>
            </w:r>
          </w:p>
          <w:p>
            <w:pPr>
              <w:widowControl w:val="0"/>
              <w:adjustRightInd/>
              <w:snapToGrid/>
              <w:spacing w:after="0"/>
              <w:ind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售后服务响应完整科学、可行性强，完全满足并优于招标文件要求，得10分。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售后服务响应完整科学、可行性强，基本满足招文件要求，得6分。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售后服务响应完整、可行性一般，符合招标文件要求，得3分。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售后服务响应基本完整、可行性较差，基本符合招标文件要求，得1分。</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未提供售后服务响应承诺不得分。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78" w:type="dxa"/>
            <w:gridSpan w:val="4"/>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价格评分（10分）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widowControl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kern w:val="2"/>
                <w:sz w:val="21"/>
                <w:szCs w:val="21"/>
                <w:highlight w:val="none"/>
              </w:rPr>
              <w:t>1</w:t>
            </w:r>
          </w:p>
        </w:tc>
        <w:tc>
          <w:tcPr>
            <w:tcW w:w="1432"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价格</w:t>
            </w:r>
          </w:p>
        </w:tc>
        <w:tc>
          <w:tcPr>
            <w:tcW w:w="798" w:type="dxa"/>
            <w:vAlign w:val="center"/>
          </w:tcPr>
          <w:p>
            <w:pPr>
              <w:widowControl w:val="0"/>
              <w:adjustRightInd/>
              <w:snapToGrid/>
              <w:spacing w:after="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10分</w:t>
            </w:r>
          </w:p>
        </w:tc>
        <w:tc>
          <w:tcPr>
            <w:tcW w:w="5724" w:type="dxa"/>
            <w:vAlign w:val="center"/>
          </w:tcPr>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价格分计算方法：满足招标文件要求且投标价格最低的投标报价为评标基准价，其价格分为满分。其他投标人的价格分统一按照下列公式计算：</w:t>
            </w:r>
          </w:p>
          <w:p>
            <w:pPr>
              <w:widowControl w:val="0"/>
              <w:adjustRightInd/>
              <w:snapToGrid/>
              <w:spacing w:after="0"/>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投标报价得分=(评标基准价／投标报价)×价格权重10%）×100</w:t>
            </w:r>
          </w:p>
        </w:tc>
      </w:tr>
    </w:tbl>
    <w:p>
      <w:pPr>
        <w:spacing w:after="0"/>
        <w:rPr>
          <w:color w:val="auto"/>
          <w:sz w:val="28"/>
          <w:szCs w:val="28"/>
          <w:highlight w:val="none"/>
        </w:rPr>
      </w:pPr>
    </w:p>
    <w:p>
      <w:pPr>
        <w:spacing w:after="0"/>
        <w:rPr>
          <w:color w:val="auto"/>
          <w:sz w:val="28"/>
          <w:szCs w:val="28"/>
          <w:highlight w:val="none"/>
        </w:rPr>
      </w:pPr>
      <w:r>
        <w:rPr>
          <w:rFonts w:hint="eastAsia"/>
          <w:color w:val="auto"/>
          <w:sz w:val="28"/>
          <w:szCs w:val="28"/>
          <w:highlight w:val="none"/>
        </w:rPr>
        <w:br w:type="page"/>
      </w:r>
    </w:p>
    <w:p>
      <w:pPr>
        <w:pStyle w:val="3"/>
        <w:spacing w:before="0" w:after="0" w:line="240" w:lineRule="auto"/>
        <w:rPr>
          <w:color w:val="auto"/>
          <w:sz w:val="36"/>
          <w:szCs w:val="36"/>
          <w:highlight w:val="none"/>
        </w:rPr>
      </w:pPr>
      <w:bookmarkStart w:id="4" w:name="_Toc18127"/>
      <w:r>
        <w:rPr>
          <w:rFonts w:hint="eastAsia"/>
          <w:color w:val="auto"/>
          <w:sz w:val="28"/>
          <w:szCs w:val="28"/>
          <w:highlight w:val="none"/>
        </w:rPr>
        <w:t>第三部分 用户需求书</w:t>
      </w:r>
      <w:bookmarkEnd w:id="4"/>
    </w:p>
    <w:p>
      <w:pPr>
        <w:widowControl/>
        <w:wordWrap/>
        <w:adjustRightInd w:val="0"/>
        <w:snapToGrid w:val="0"/>
        <w:spacing w:after="0" w:line="360" w:lineRule="auto"/>
        <w:ind w:left="0" w:leftChars="0" w:right="0" w:firstLine="0" w:firstLineChars="0"/>
        <w:jc w:val="center"/>
        <w:textAlignment w:val="auto"/>
        <w:outlineLvl w:val="9"/>
        <w:rPr>
          <w:rFonts w:eastAsia="黑体"/>
          <w:color w:val="auto"/>
          <w:sz w:val="32"/>
          <w:highlight w:val="none"/>
        </w:rPr>
      </w:pPr>
      <w:bookmarkStart w:id="5" w:name="_Toc13112"/>
      <w:bookmarkStart w:id="6" w:name="_Toc14462"/>
      <w:bookmarkStart w:id="7" w:name="_Toc24679"/>
      <w:bookmarkStart w:id="8" w:name="_Toc31278"/>
      <w:r>
        <w:rPr>
          <w:rFonts w:hint="eastAsia" w:ascii="宋体" w:hAnsi="宋体" w:eastAsia="宋体" w:cs="宋体"/>
          <w:b/>
          <w:bCs/>
          <w:color w:val="auto"/>
          <w:sz w:val="28"/>
          <w:szCs w:val="28"/>
          <w:highlight w:val="none"/>
        </w:rPr>
        <w:t>用户需求明细</w:t>
      </w:r>
    </w:p>
    <w:p>
      <w:pPr>
        <w:rPr>
          <w:rFonts w:hint="eastAsia"/>
          <w:color w:val="auto"/>
          <w:highlight w:val="none"/>
          <w:lang w:val="en-US" w:eastAsia="zh-CN"/>
        </w:rPr>
      </w:pPr>
      <w:bookmarkStart w:id="9" w:name="_Toc18749"/>
    </w:p>
    <w:p>
      <w:pPr>
        <w:keepNext/>
        <w:keepLines/>
        <w:widowControl/>
        <w:numPr>
          <w:numId w:val="0"/>
        </w:numPr>
        <w:tabs>
          <w:tab w:val="left" w:pos="8286"/>
        </w:tabs>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一、项目概况</w:t>
      </w:r>
      <w:bookmarkEnd w:id="9"/>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10" w:name="_Toc19583"/>
      <w:r>
        <w:rPr>
          <w:rFonts w:hint="eastAsia" w:ascii="宋体" w:hAnsi="宋体" w:eastAsia="宋体" w:cs="宋体"/>
          <w:b/>
          <w:bCs/>
          <w:color w:val="auto"/>
          <w:sz w:val="28"/>
          <w:szCs w:val="28"/>
          <w:highlight w:val="none"/>
          <w:lang w:val="en-US" w:eastAsia="zh-CN" w:bidi="ar-SA"/>
        </w:rPr>
        <w:t>1.1项目名称</w:t>
      </w:r>
      <w:bookmarkEnd w:id="10"/>
    </w:p>
    <w:p>
      <w:pPr>
        <w:widowControl/>
        <w:numPr>
          <w:numId w:val="0"/>
        </w:numPr>
        <w:wordWrap/>
        <w:adjustRightInd w:val="0"/>
        <w:snapToGrid w:val="0"/>
        <w:spacing w:after="0" w:line="360" w:lineRule="auto"/>
        <w:ind w:leftChars="20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项目名称：东莞市石排镇塘尾村智慧社区视频监控建设和维护项目</w:t>
      </w:r>
      <w:bookmarkStart w:id="11" w:name="_Toc28343"/>
    </w:p>
    <w:p>
      <w:pPr>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编制依据</w:t>
      </w:r>
      <w:bookmarkEnd w:id="11"/>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12" w:name="_Toc30463"/>
      <w:r>
        <w:rPr>
          <w:rFonts w:hint="eastAsia" w:ascii="宋体" w:hAnsi="宋体" w:eastAsia="宋体" w:cs="宋体"/>
          <w:b/>
          <w:bCs/>
          <w:color w:val="auto"/>
          <w:sz w:val="21"/>
          <w:szCs w:val="21"/>
          <w:highlight w:val="none"/>
          <w:lang w:val="en-US" w:eastAsia="zh-CN" w:bidi="ar-SA"/>
        </w:rPr>
        <w:t>上级部门文件</w:t>
      </w:r>
      <w:bookmarkEnd w:id="12"/>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《广东省公共安全视频监控系统建设“十三五”规划》</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《广东省安全技术防范管理实施办法》</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《关于下发“十三五”规划期间视频监控建设任务的通知》（东莞市公安局）</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《东莞市高清视频监控系统建设指引》（东莞市公安局）</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《关于进一步加强公安机关视频图像信息应用工作的意见》（公通字〔2015〕4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《公安信息化建设“十三五”重点任务考虑》（公装财传发〔2014〕192号）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《关于加强公共安全视频监控建设联网应用工作的若干意见》 （发改高技〔2015〕996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《关于加强社会治安防控体系建设的意见》（中共中央办公厅、国务院办公厅 2015 年 4 月 13 日印发）</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《全国公安机关视频图像信息整合与共享工作任务书》（公科信〔2012〕11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《关于深入开展城市报警与监控系统应用工作的意见》（公科信〔2010〕30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《公安信息通信网边界接入平台安全规范（试行）》（公信通〔2007〕191号）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《关于公安信息通信网边界接入平台建设有关问题的通知》 （公信通传发〔2008〕296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《公安信息通信网边界接入平台安全规范（试行）—视频接入部分》（公科信〔2011〕5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《广东省社会治安视频监控系统建设指引》（粤公通字〔2005〕310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《广东省社会治安视频监控系统数据传输技术规范》（粤公通字〔2005〕310 号）</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《广东省社会治安视频监控系统监控中心平台建设规范》（粤公通字〔2007〕139 号）</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13" w:name="_Toc30855"/>
      <w:r>
        <w:rPr>
          <w:rFonts w:hint="eastAsia" w:ascii="宋体" w:hAnsi="宋体" w:eastAsia="宋体" w:cs="宋体"/>
          <w:b/>
          <w:bCs/>
          <w:color w:val="auto"/>
          <w:sz w:val="21"/>
          <w:szCs w:val="21"/>
          <w:highlight w:val="none"/>
          <w:lang w:val="en-US" w:eastAsia="zh-CN" w:bidi="ar-SA"/>
        </w:rPr>
        <w:t>国家及行业标准规范</w:t>
      </w:r>
      <w:bookmarkEnd w:id="13"/>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《城市监控报警联网系统技术标准》（GA/T 669-2008）</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《公安视频图像信息联网与应用标准体系表》（GA/Z 1164-2014）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《信息安全技术信息系统通用安全技术要求》（GB/T20271-2006）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《安防监控视频实时智能分析设备技术要求》（GB/T30147-2013）</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《视频安防监控系统技术要求》（GA/T 367-2001）</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《安全防范工程技术规范》（GB 50348-2004）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《安全防范工程程序与要求》（GA/T 75-1994）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《安全防范系统验收规则》（GA 308-2001）</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《电子计算机机房设计规范》（GB50174）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《电子计算机机房施工及验收规范》（SJ/T30003）</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《电气装置安装工程工程施工及验收规范》（GB 50169－2006）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《安全防范系统雷电浪涌防护技术要求》（GA/T 670-2006）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《计算机信息系统安全》（GA 216.1－1999）</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《信息技术设备的安全》GB4943-2001</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《公共安全视频监控联网信息安全技术要求》（GB 35114-2017）</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《安全防范工程程序与要求》（GA/T75-94）；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《视频安防系统技术要求》（GB/T367-2001）；</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《彩色电视图像质量主观评价方法》（GB50198-94）；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《民用闭路电视监控系统工程技术规范》（GB50198-94）；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《计算站场安全要求》（GB9361-1998）；</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《电子计算机机房施工及验收规范》（SJ/T30003-93）；</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《邮电通信网光纤数据传输系统工程施工及验收暂行技术规范》</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《智能建筑设计标准》（GB/T50314-2000）；</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《系统接地的形式及安全技术要求》（YD14050-93）；</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《建筑物防雷设计规范》（GB50057-94）；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《中华人民共和国道路交通安全法》；</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《中华人民共和国道路交通安全法实施条例》；</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《公路交通安全实施设计技术规范》 (JTJ074-2003)；</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《公路车辆智能监测记录系统通用技术条件》（GA/T497-2016）；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《机动车测速仪》（GB/T21255-2007）；</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《道路交通安全违法行为图像取证技术规范》（GA/T 832-2014）；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《道路交通安全违法行为视频取证设备技术规范》（GA/T995-2012）；</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《交通技术监控成像补光装置通用技术条件》（GA/T1202-2014）；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《机动车号牌图像自动识别技术规范》（GA/T833-2016）；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《公安交通指挥系统工程建设通用程序和要求》（GA/T651-2006）；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《公安交通管理外场设备基础施工通用要求》（GA/T652-2006）；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《公安交通指挥系统工程设计制图规范》（GA/T515-2004）；</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《工业电视系统工程设计规范》（GBJ115-87）；</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《音频、视频及类似电子设备安全要求》（GB8898-2001）；</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《测量、控制和试验室用电气设备的安全要求》 (GB4793-2001)；</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《邮电通信网光纤数据传输系统工程施工及验收技术规范》；</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《中华人民共和国通信行业标准》（YD/T926）；</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《电气指标标准》ELA-422 ELA-485 ；</w:t>
      </w:r>
    </w:p>
    <w:p>
      <w:pPr>
        <w:widowControl/>
        <w:numPr>
          <w:ilvl w:val="0"/>
          <w:numId w:val="2"/>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《电子设备雷击保护导则》GB7450-87；</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14" w:name="_Toc12096"/>
      <w:r>
        <w:rPr>
          <w:rFonts w:hint="eastAsia" w:ascii="宋体" w:hAnsi="宋体" w:eastAsia="宋体" w:cs="宋体"/>
          <w:b/>
          <w:bCs/>
          <w:color w:val="auto"/>
          <w:sz w:val="28"/>
          <w:szCs w:val="28"/>
          <w:highlight w:val="none"/>
          <w:lang w:val="en-US" w:eastAsia="zh-CN" w:bidi="ar-SA"/>
        </w:rPr>
        <w:t>1.2项目建设目标</w:t>
      </w:r>
      <w:bookmarkEnd w:id="14"/>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石排全镇各村主干道、公园、市场等重要区域增加安装治安视频监控系统，强化平安乡村建设。可满足村级治安防控和社会管理需要，利用网络把各视频监控点图像上传至石排公安分局监控中心，通过视频技术获取影像资料，通过增设村级视频监控点，形成村社区治安闭环，近而实现全域封控,完成实战“最后一公里”，构筑“瓮中捉鳖”的防范体系。提升社会治安防控、打击犯罪、反恐处突等方面的能力。石排镇平安乡村视频监控系统项目主要涉及前端高清视频监控、网络传输、存储系统、村警务区分控中心等系统建设。</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本项目的建设将实现对街巷的人流车辆监控管控，弥补现阶段石排村社区治安队伍人员老化、专业素质不足等问题，建立防范为主要原则、打击为主要手段、挤压犯罪空间为主要目的的防控体系。进而震慑违法犯罪，降低违法犯罪案件发案率，提升群众安全感和公共安全满意度。提升视频监控管理和应用的高效便捷性，进一步提升石排镇社会治安综合治理水平。</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15" w:name="_Toc31189"/>
      <w:r>
        <w:rPr>
          <w:rFonts w:hint="eastAsia" w:ascii="宋体" w:hAnsi="宋体" w:eastAsia="宋体" w:cs="宋体"/>
          <w:b/>
          <w:bCs/>
          <w:color w:val="auto"/>
          <w:sz w:val="28"/>
          <w:szCs w:val="28"/>
          <w:highlight w:val="none"/>
          <w:lang w:val="en-US" w:eastAsia="zh-CN" w:bidi="ar-SA"/>
        </w:rPr>
        <w:t>1.3项目建设内容</w:t>
      </w:r>
      <w:bookmarkEnd w:id="15"/>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bookmarkStart w:id="16" w:name="_Hlk23889983"/>
      <w:r>
        <w:rPr>
          <w:rFonts w:hint="eastAsia" w:ascii="宋体" w:hAnsi="宋体" w:eastAsia="宋体" w:cs="宋体"/>
          <w:color w:val="auto"/>
          <w:sz w:val="21"/>
          <w:szCs w:val="21"/>
          <w:highlight w:val="none"/>
        </w:rPr>
        <w:t>（1）提供133路二类视频监控点线路和设备更换。</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（2）提供该133路二类监控点和6路人脸识别，2路治安卡口，合计141路视频点的</w:t>
      </w:r>
      <w:r>
        <w:rPr>
          <w:rFonts w:hint="eastAsia" w:ascii="宋体" w:hAnsi="宋体" w:eastAsia="宋体" w:cs="宋体"/>
          <w:color w:val="auto"/>
          <w:sz w:val="21"/>
          <w:szCs w:val="21"/>
          <w:highlight w:val="none"/>
          <w:lang w:val="en-US" w:eastAsia="zh-CN"/>
        </w:rPr>
        <w:t>一</w:t>
      </w:r>
      <w:bookmarkStart w:id="363" w:name="_GoBack"/>
      <w:bookmarkEnd w:id="363"/>
      <w:r>
        <w:rPr>
          <w:rFonts w:hint="eastAsia" w:ascii="宋体" w:hAnsi="宋体" w:eastAsia="宋体" w:cs="宋体"/>
          <w:color w:val="auto"/>
          <w:sz w:val="21"/>
          <w:szCs w:val="21"/>
          <w:highlight w:val="none"/>
        </w:rPr>
        <w:t>年维护。</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（3）更换部分录像设备，显示设备及机房相关其他设备。</w:t>
      </w:r>
    </w:p>
    <w:p>
      <w:pPr>
        <w:widowControl/>
        <w:wordWrap/>
        <w:adjustRightInd w:val="0"/>
        <w:snapToGrid w:val="0"/>
        <w:spacing w:after="0" w:line="360" w:lineRule="auto"/>
        <w:ind w:left="0" w:leftChars="0" w:right="0" w:firstLine="420" w:firstLineChars="200"/>
        <w:jc w:val="left"/>
        <w:textAlignment w:val="auto"/>
        <w:outlineLvl w:val="9"/>
        <w:rPr>
          <w:color w:val="auto"/>
          <w:highlight w:val="none"/>
        </w:rPr>
      </w:pPr>
      <w:r>
        <w:rPr>
          <w:rFonts w:hint="eastAsia" w:ascii="宋体" w:hAnsi="宋体" w:eastAsia="宋体" w:cs="宋体"/>
          <w:color w:val="auto"/>
          <w:sz w:val="21"/>
          <w:szCs w:val="21"/>
          <w:highlight w:val="none"/>
        </w:rPr>
        <w:t>（4） 提供村村享-数字乡村SAAS基础包、智慧社区门禁及云盘等产业数字化服务。</w:t>
      </w:r>
    </w:p>
    <w:bookmarkEnd w:id="16"/>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17" w:name="_Toc11211"/>
      <w:bookmarkStart w:id="18" w:name="_Hlk19691780"/>
      <w:r>
        <w:rPr>
          <w:rFonts w:hint="eastAsia" w:ascii="宋体" w:hAnsi="宋体" w:eastAsia="宋体" w:cs="宋体"/>
          <w:b/>
          <w:bCs/>
          <w:color w:val="auto"/>
          <w:sz w:val="28"/>
          <w:szCs w:val="28"/>
          <w:highlight w:val="none"/>
          <w:lang w:val="en-US" w:eastAsia="zh-CN" w:bidi="ar-SA"/>
        </w:rPr>
        <w:t>1.4效益分析</w:t>
      </w:r>
      <w:bookmarkEnd w:id="17"/>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方案将视频监控各方面资源进行了有效的整合，将高效的自主硬件平台，与视频监控平台、视频存储、网络通道等多方面资源和功能进行了高度融合，构建了集传统视频监控、视频存储、电子地图，以及安防业务应用等功能于一体的综合视频监控管理平台。</w:t>
      </w:r>
    </w:p>
    <w:p>
      <w:pPr>
        <w:keepNext/>
        <w:keepLines/>
        <w:numPr>
          <w:numId w:val="0"/>
        </w:numPr>
        <w:tabs>
          <w:tab w:val="left" w:pos="8286"/>
        </w:tabs>
        <w:adjustRightInd w:val="0"/>
        <w:snapToGrid w:val="0"/>
        <w:spacing w:before="120" w:beforeLines="0" w:beforeAutospacing="0" w:after="120" w:afterLines="0" w:afterAutospacing="0" w:line="360" w:lineRule="auto"/>
        <w:ind w:leftChars="0" w:firstLine="0"/>
        <w:jc w:val="both"/>
        <w:outlineLvl w:val="0"/>
        <w:rPr>
          <w:rFonts w:hint="eastAsia" w:ascii="宋体" w:hAnsi="宋体" w:eastAsia="宋体" w:cs="宋体"/>
          <w:b/>
          <w:bCs/>
          <w:color w:val="auto"/>
          <w:kern w:val="0"/>
          <w:sz w:val="28"/>
          <w:szCs w:val="28"/>
          <w:highlight w:val="none"/>
          <w:lang w:val="en-US" w:eastAsia="zh-CN" w:bidi="ar-SA"/>
        </w:rPr>
      </w:pPr>
      <w:bookmarkStart w:id="19" w:name="_Toc1788"/>
      <w:r>
        <w:rPr>
          <w:rFonts w:hint="eastAsia" w:ascii="宋体" w:hAnsi="宋体" w:eastAsia="宋体" w:cs="宋体"/>
          <w:b/>
          <w:bCs/>
          <w:color w:val="auto"/>
          <w:kern w:val="0"/>
          <w:sz w:val="28"/>
          <w:szCs w:val="28"/>
          <w:highlight w:val="none"/>
          <w:lang w:val="en-US" w:eastAsia="zh-CN" w:bidi="ar-SA"/>
        </w:rPr>
        <w:t>二、项目现状及必要性分析</w:t>
      </w:r>
      <w:bookmarkEnd w:id="19"/>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20" w:name="_Toc28572"/>
      <w:r>
        <w:rPr>
          <w:rFonts w:hint="eastAsia" w:ascii="宋体" w:hAnsi="宋体" w:eastAsia="宋体" w:cs="宋体"/>
          <w:b/>
          <w:bCs/>
          <w:color w:val="auto"/>
          <w:sz w:val="28"/>
          <w:szCs w:val="28"/>
          <w:highlight w:val="none"/>
          <w:lang w:val="en-US" w:eastAsia="zh-CN" w:bidi="ar-SA"/>
        </w:rPr>
        <w:t>2.1项目建设背景</w:t>
      </w:r>
      <w:bookmarkEnd w:id="20"/>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排镇隶属东莞市，位于广东省东莞市东北部，东江中下游南岸，镇政府中心位置位于东经113°94′，北纬23°09′，西距东莞市区20公里、广州50公里，南往深圳70公里，北与惠州市博罗县隔江相望，是东莞市下辖的32个乡镇之一。</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排镇总面积48.7平方公里，辖18个村和1个社区，石排镇境内有龙眼岗贝丘文化遗址、红石山燕岭古采石场、塘尾明清古村落等国家级文物保护单位；有莞深高速公路、广深高速公路、广惠高速公路等高速公路过境。</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bookmarkStart w:id="21" w:name="_Hlk23257657"/>
      <w:r>
        <w:rPr>
          <w:rFonts w:hint="eastAsia" w:ascii="宋体" w:hAnsi="宋体" w:eastAsia="宋体" w:cs="宋体"/>
          <w:color w:val="auto"/>
          <w:sz w:val="21"/>
          <w:szCs w:val="21"/>
          <w:highlight w:val="none"/>
        </w:rPr>
        <w:t>据会议印发的《石排镇关于推进乡村振兴战略的实施意见（征求意见稿）》（下称《实施意见》）和《石排镇关于实施乡村振兴战略三年行动方案（2018年—2020年）（征求意见稿）》（下称《行动方案》），石排镇用于乡村振兴的资金累计达到7.7亿元，将从产业振兴、生态环境、乡村文明、基层治理、改善民生等方面，全面推动农村高质量发展，力争到 2020 年全面消灭收不抵支村，要聚焦五大重点工作，到2025年全部村（社区）达到美丽宜居村标准</w:t>
      </w:r>
      <w:bookmarkEnd w:id="21"/>
      <w:r>
        <w:rPr>
          <w:rFonts w:hint="eastAsia" w:ascii="宋体" w:hAnsi="宋体" w:eastAsia="宋体" w:cs="宋体"/>
          <w:color w:val="auto"/>
          <w:sz w:val="21"/>
          <w:szCs w:val="21"/>
          <w:highlight w:val="none"/>
        </w:rPr>
        <w:t>。</w:t>
      </w:r>
    </w:p>
    <w:bookmarkEnd w:id="18"/>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22" w:name="_Toc7893"/>
      <w:r>
        <w:rPr>
          <w:rFonts w:hint="eastAsia" w:ascii="宋体" w:hAnsi="宋体" w:eastAsia="宋体" w:cs="宋体"/>
          <w:b/>
          <w:bCs/>
          <w:color w:val="auto"/>
          <w:sz w:val="28"/>
          <w:szCs w:val="28"/>
          <w:highlight w:val="none"/>
          <w:lang w:val="en-US" w:eastAsia="zh-CN" w:bidi="ar-SA"/>
        </w:rPr>
        <w:t>2.2现状分析</w:t>
      </w:r>
      <w:bookmarkEnd w:id="22"/>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塘尾村位于东莞市石排镇中心腹地，地处东江下游，地理位置优越，。村内有镇主干线东园大道穿过，西靠广深铁路，北与松山湖交汇，距东莞市区23公里。</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塘尾村高清视频监控系统点位主要分布在村委各主要干道、道路交叉口、商业街、工业区等人员比较集中的重点区域，共投资建设133路监控画面，前端采用的摄像机为 1080P 的网络摄像机，监控中心拼接大屏为2*3拼接屏，整个项目有稳定的维护队伍进行维护，使用反馈良好。根据村委意见及现场勘察情况，本期规划利旧原有视频监控系统，对原有系统进行改造。</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但目前存在前端监控点故障多，分辨率低，线路老化，图像在线率低等问题。</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23" w:name="_Toc3789"/>
      <w:r>
        <w:rPr>
          <w:rFonts w:hint="eastAsia" w:ascii="宋体" w:hAnsi="宋体" w:eastAsia="宋体" w:cs="宋体"/>
          <w:b/>
          <w:bCs/>
          <w:color w:val="auto"/>
          <w:sz w:val="28"/>
          <w:szCs w:val="28"/>
          <w:highlight w:val="none"/>
          <w:lang w:val="en-US" w:eastAsia="zh-CN" w:bidi="ar-SA"/>
        </w:rPr>
        <w:t>2.3建设必要性分析</w:t>
      </w:r>
      <w:bookmarkEnd w:id="23"/>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24" w:name="_Toc23338"/>
      <w:r>
        <w:rPr>
          <w:rFonts w:hint="eastAsia" w:ascii="宋体" w:hAnsi="宋体" w:eastAsia="宋体" w:cs="宋体"/>
          <w:b/>
          <w:bCs/>
          <w:color w:val="auto"/>
          <w:sz w:val="21"/>
          <w:szCs w:val="21"/>
          <w:highlight w:val="none"/>
          <w:lang w:val="en-US" w:eastAsia="zh-CN" w:bidi="ar-SA"/>
        </w:rPr>
        <w:t>2.3.1建设社会公共安全体系</w:t>
      </w:r>
      <w:bookmarkEnd w:id="24"/>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国社会主义建设的主要目标，是构建社会主义“和谐社会”。而“和谐社会”的一个重要标志就是社会长治久安、人民安居乐业。由于塘尾村视频监控布点少，大部分道路、区域存在视频监控盲点，对违法犯罪分子震慑力度不大，导致上述案件发案多，视频监控系统作为公共安全体系的重要组成部分，是维护社会稳定和治安管理的重要科技手段。</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25" w:name="_Toc8628"/>
      <w:r>
        <w:rPr>
          <w:rFonts w:hint="eastAsia" w:ascii="宋体" w:hAnsi="宋体" w:eastAsia="宋体" w:cs="宋体"/>
          <w:b/>
          <w:bCs/>
          <w:color w:val="auto"/>
          <w:sz w:val="21"/>
          <w:szCs w:val="21"/>
          <w:highlight w:val="none"/>
          <w:lang w:val="en-US" w:eastAsia="zh-CN" w:bidi="ar-SA"/>
        </w:rPr>
        <w:t>2.3.2落实上级要求</w:t>
      </w:r>
      <w:bookmarkEnd w:id="25"/>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bookmarkStart w:id="26" w:name="_Hlk24982279"/>
      <w:r>
        <w:rPr>
          <w:rFonts w:hint="eastAsia" w:ascii="宋体" w:hAnsi="宋体" w:eastAsia="宋体" w:cs="宋体"/>
          <w:color w:val="auto"/>
          <w:sz w:val="21"/>
          <w:szCs w:val="21"/>
          <w:highlight w:val="none"/>
        </w:rPr>
        <w:t>贯彻落实《石排镇关于推进乡村振兴战略的实施意见（征求意见稿）》（下称《实施意见》）和《石排镇关于实施乡村振兴战略三年行动方案（2018年—2020年）（征求意见稿）》（下称《行动方案》），扩大石排镇社会治安视频监控系统的覆盖面，提升社会治安防控、打击罪犯、反恐处突等方面能力，结合石排镇实际，升级改造全镇原有891路村级治安视频监控系统，覆盖所有盲点，实现东莞市公安局规定的2020年全镇村级辖区建设1500路二类高清视频监控点的规划建设目标。</w:t>
      </w:r>
    </w:p>
    <w:bookmarkEnd w:id="26"/>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27" w:name="_Toc2534"/>
      <w:r>
        <w:rPr>
          <w:rFonts w:hint="eastAsia" w:ascii="宋体" w:hAnsi="宋体" w:eastAsia="宋体" w:cs="宋体"/>
          <w:b/>
          <w:bCs/>
          <w:color w:val="auto"/>
          <w:sz w:val="21"/>
          <w:szCs w:val="21"/>
          <w:highlight w:val="none"/>
          <w:lang w:val="en-US" w:eastAsia="zh-CN" w:bidi="ar-SA"/>
        </w:rPr>
        <w:t>2.3.3提升治安防范水平</w:t>
      </w:r>
      <w:bookmarkEnd w:id="27"/>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排镇把大力加强社会治安防范作为平安建设的主要措施来落实，有效地提升技术防范水平，将治安防范设施建设纳入城市基础设施建设和民用建筑建设的总体规划，进行综合设计，同步规划和独立验收。因此，针对社会治安的新特点，组织有关部门逐步建立和完善“打、防、控、管理、服务”一体化的工作机制，充分发挥现代科学技术在治安管理和防范中的作用，对社会治安实行动态管理，建立快速反应机制，加强社会面的控制，堵塞违法犯罪漏洞，减少社会治安问题。整合人防、物防、技防，实现三者与管理、服务的有机统一，形成安全防范体系。</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28" w:name="_Toc8654"/>
      <w:r>
        <w:rPr>
          <w:rFonts w:hint="eastAsia" w:ascii="宋体" w:hAnsi="宋体" w:eastAsia="宋体" w:cs="宋体"/>
          <w:b/>
          <w:bCs/>
          <w:color w:val="auto"/>
          <w:sz w:val="21"/>
          <w:szCs w:val="21"/>
          <w:highlight w:val="none"/>
          <w:lang w:val="en-US" w:eastAsia="zh-CN" w:bidi="ar-SA"/>
        </w:rPr>
        <w:t>2.3.4支撑业务发展，实现科技强警</w:t>
      </w:r>
      <w:bookmarkEnd w:id="28"/>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警力有限、各系统信息分散，各基层派出所在工作中只能抓重点，疲于应付案件，无法兼顾全面防范的要求，防范工作跟不上，以至出现刑事犯罪“打不胜打”的现象。另一方面，资源分散，快速反应难以真正实现。目前，石排镇虽然建设了城市建设高清平台、部分道路监控、重点场所监控和治安卡口系统，并取得了一定的成效，但是资源分割比较严重，难以对区范围内所发生的不稳定事件做出快速调度和反应，及时提供决策信息。因此，需要以现有的高清治安监控系统为依托，增建高清视频监控，使监控覆盖面更广，实现资源共享，提高整体联动水平和快速处置能力，减少警务活动成本，保障执法质量，缓解警力不足、经费短缺与任务日益繁重的矛盾。</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29" w:name="_Toc7370"/>
      <w:r>
        <w:rPr>
          <w:rFonts w:hint="eastAsia" w:ascii="宋体" w:hAnsi="宋体" w:eastAsia="宋体" w:cs="宋体"/>
          <w:b/>
          <w:bCs/>
          <w:color w:val="auto"/>
          <w:sz w:val="21"/>
          <w:szCs w:val="21"/>
          <w:highlight w:val="none"/>
          <w:lang w:val="en-US" w:eastAsia="zh-CN" w:bidi="ar-SA"/>
        </w:rPr>
        <w:t>2.3.5事件可追溯</w:t>
      </w:r>
      <w:bookmarkEnd w:id="29"/>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通过对高清治安视频监控系统盲区补点，可以对区域内发生的事情进行连续30天每天24小时有效地记录，当出现案件时，可通过录像进行追溯，有效地提高了石排镇治安防范水平。</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30" w:name="_Toc1840"/>
      <w:r>
        <w:rPr>
          <w:rFonts w:hint="eastAsia" w:ascii="宋体" w:hAnsi="宋体" w:eastAsia="宋体" w:cs="宋体"/>
          <w:b/>
          <w:bCs/>
          <w:color w:val="auto"/>
          <w:sz w:val="21"/>
          <w:szCs w:val="21"/>
          <w:highlight w:val="none"/>
          <w:lang w:val="en-US" w:eastAsia="zh-CN" w:bidi="ar-SA"/>
        </w:rPr>
        <w:t>2.3.6优化管理体系</w:t>
      </w:r>
      <w:bookmarkEnd w:id="30"/>
    </w:p>
    <w:p>
      <w:pPr>
        <w:widowControl/>
        <w:wordWrap/>
        <w:adjustRightInd w:val="0"/>
        <w:snapToGrid w:val="0"/>
        <w:spacing w:after="0" w:line="360" w:lineRule="auto"/>
        <w:ind w:left="0" w:leftChars="0" w:right="0" w:firstLine="420" w:firstLineChars="200"/>
        <w:jc w:val="left"/>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rPr>
        <w:t>目前，对于一些监控盲区，采用警员巡检，每个盲区花费大量时间，浪费了大量的人力。这种人工方式必将越来越凸显出它的低效性、不科学、不合理。随着本次补盲，高清视频监控点不断增加，巡检人员将可以通过高清视频监控系统对现场情况进行高效的实时监控，改变了现有低效的人工管理方式，提高管理效率，节约了管理成本的投入。</w:t>
      </w:r>
      <w:bookmarkStart w:id="31" w:name="_Toc2976"/>
    </w:p>
    <w:p>
      <w:pPr>
        <w:keepNext/>
        <w:keepLines/>
        <w:numPr>
          <w:numId w:val="0"/>
        </w:numPr>
        <w:tabs>
          <w:tab w:val="left" w:pos="8286"/>
        </w:tabs>
        <w:adjustRightInd w:val="0"/>
        <w:snapToGrid w:val="0"/>
        <w:spacing w:before="120" w:beforeLines="0" w:beforeAutospacing="0" w:after="120" w:afterLines="0" w:afterAutospacing="0" w:line="360" w:lineRule="auto"/>
        <w:ind w:leftChars="0" w:firstLine="0"/>
        <w:jc w:val="both"/>
        <w:outlineLvl w:val="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三、需求分析</w:t>
      </w:r>
      <w:bookmarkEnd w:id="31"/>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32" w:name="_Toc29270"/>
      <w:r>
        <w:rPr>
          <w:rFonts w:hint="eastAsia" w:ascii="宋体" w:hAnsi="宋体" w:eastAsia="宋体" w:cs="宋体"/>
          <w:b/>
          <w:bCs/>
          <w:color w:val="auto"/>
          <w:sz w:val="28"/>
          <w:szCs w:val="28"/>
          <w:highlight w:val="none"/>
          <w:lang w:val="en-US" w:eastAsia="zh-CN" w:bidi="ar-SA"/>
        </w:rPr>
        <w:t>3.1业务需求分析</w:t>
      </w:r>
      <w:bookmarkEnd w:id="32"/>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石排镇塘尾村村级视频监控已建成133路枪机，本次方案更换原有133路200万像素旧监控点为全新800万像素高清监控点，并在投放使用期间达到预期的使用功能，在治安管理中发挥重要作用。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根据村委的反馈，原有旧的133路摄像机像素低，清晰度不高，设备老旧经常掉线，使村委无法及时掌握覆盖区域外的事件情况，难以对事态发展做出预判，最终导致无法准确、及时、有效地处理突发事件。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现场调研核实，原有旧的133路中基本上无法使用正常，满足村委各项要求，依据村委的意见需全部更换；其中有在大部分摄像机还存在中间传输线路损坏导致无图像显示，经与村委协商确认将此次133路摄像机线路做重点改造，传输线路尽量走地面敷设布放。</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贯彻落实《石排镇关于推进乡村振兴战略的实施意见（征求意见稿）》（下称《实施意见》）和《石排镇关于实施乡村振兴战略三年行动方案（2018年—2020年）（征求意见稿）》（下称《行动方案》），扩大石排镇社会治安视频监控系统的覆盖面，提升社会治安防控、打击罪犯、反恐处突等方面能力，结合石排镇实际，升级改造全镇原有891路村级治安视频监控系统，覆盖所有盲点，实现东莞市公安局规定的2020年全镇村级辖区建设1500路二类高清视频监控点的规划建设目标。</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为提高塘尾村治安防控体系，扩大高清监控覆盖面，对部分盲点区域进行补点，本期项目决定对塘尾村原有133路旧的视频监控前端设备进行全部更换升级，同时对133路旧的视频监控线路进行更换升级。</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33" w:name="_Toc25935"/>
      <w:r>
        <w:rPr>
          <w:rFonts w:hint="eastAsia" w:ascii="宋体" w:hAnsi="宋体" w:eastAsia="宋体" w:cs="宋体"/>
          <w:b/>
          <w:bCs/>
          <w:color w:val="auto"/>
          <w:sz w:val="28"/>
          <w:szCs w:val="28"/>
          <w:highlight w:val="none"/>
          <w:lang w:val="en-US" w:eastAsia="zh-CN" w:bidi="ar-SA"/>
        </w:rPr>
        <w:t>3.2功能需求分析</w:t>
      </w:r>
      <w:bookmarkEnd w:id="33"/>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34" w:name="_Toc19844"/>
      <w:r>
        <w:rPr>
          <w:rFonts w:hint="eastAsia" w:ascii="宋体" w:hAnsi="宋体" w:eastAsia="宋体" w:cs="宋体"/>
          <w:b/>
          <w:bCs/>
          <w:color w:val="auto"/>
          <w:sz w:val="21"/>
          <w:szCs w:val="21"/>
          <w:highlight w:val="none"/>
          <w:lang w:val="en-US" w:eastAsia="zh-CN" w:bidi="ar-SA"/>
        </w:rPr>
        <w:t>3.2.1前端高清监控点需求</w:t>
      </w:r>
      <w:bookmarkEnd w:id="34"/>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前端视频点位采集图像效果，摄像机应至少选择800万像素以上星光级低照度摄像机，最大图像分辨率达到3840×2160及以上，彩色最低照度应≤0.005LUX，黑白最低照度应≤0.0001LUX。</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夜间环境光线不佳的情况要考虑架设补光灯，安装时补光灯与摄像机应保持一定的距离，以高于摄像机为宜，避免补光灯的光线直接照射到摄像机的镜头，光源的光照区域应与摄像机镜头主画面区域保持一致，确保摄像机监控区域中出现的目标可以受光，利于夜间在视频上依然能辨识人员轮廓、车辆外形。</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35" w:name="_Toc28216"/>
      <w:r>
        <w:rPr>
          <w:rFonts w:hint="eastAsia" w:ascii="宋体" w:hAnsi="宋体" w:eastAsia="宋体" w:cs="宋体"/>
          <w:b/>
          <w:bCs/>
          <w:color w:val="auto"/>
          <w:sz w:val="21"/>
          <w:szCs w:val="21"/>
          <w:highlight w:val="none"/>
          <w:lang w:val="en-US" w:eastAsia="zh-CN" w:bidi="ar-SA"/>
        </w:rPr>
        <w:t>3.2.2网络带宽需求</w:t>
      </w:r>
      <w:bookmarkEnd w:id="35"/>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监控前端接入线路满足视频监控前端数据传输需求，同时考虑到网络传输过程中的开销，800万前端二类点按平均4Mbps带宽计算，提供30%的带宽冗余，则至少提供(80)*4*(1+30%)=416Mbps以上的接入带宽。考虑有多个用户并发调用视频，本次设计按最多3个用户并发，则上行带宽至少为416*3=1248Mbps。</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36" w:name="_Toc27157"/>
      <w:r>
        <w:rPr>
          <w:rFonts w:hint="eastAsia" w:ascii="宋体" w:hAnsi="宋体" w:eastAsia="宋体" w:cs="宋体"/>
          <w:b/>
          <w:bCs/>
          <w:color w:val="auto"/>
          <w:sz w:val="21"/>
          <w:szCs w:val="21"/>
          <w:highlight w:val="none"/>
          <w:lang w:val="en-US" w:eastAsia="zh-CN" w:bidi="ar-SA"/>
        </w:rPr>
        <w:t>3.2.3网络质量需求</w:t>
      </w:r>
      <w:bookmarkEnd w:id="36"/>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联网系统IP网络的传输质量（如传输时延、包丢失率、包误差率、虚假包率等）应符合如下要求： </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网络时延上限值为：150ms； </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时延抖动上限值为：50ms； </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丢包率上限值为：1×10-3； </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包误差率上限值为：1×10-4。</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37" w:name="_Toc24255"/>
      <w:r>
        <w:rPr>
          <w:rFonts w:hint="eastAsia" w:ascii="宋体" w:hAnsi="宋体" w:eastAsia="宋体" w:cs="宋体"/>
          <w:b/>
          <w:bCs/>
          <w:color w:val="auto"/>
          <w:sz w:val="28"/>
          <w:szCs w:val="28"/>
          <w:highlight w:val="none"/>
          <w:lang w:val="en-US" w:eastAsia="zh-CN" w:bidi="ar-SA"/>
        </w:rPr>
        <w:t>3.3存储需求</w:t>
      </w:r>
      <w:bookmarkEnd w:id="37"/>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在本次项目设计中，石排镇以高标准、高起点的超前建设思路进行设计，结合最新的H.265算法，采用了性能更优，性价比更高前端摄像机，不仅在图像质量方面达到了高清的显示效果，同时节省了存储空间。</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视频图像按H.265编码进行传输，视频录像保存30天。</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38" w:name="_Toc369"/>
      <w:r>
        <w:rPr>
          <w:rFonts w:hint="eastAsia" w:ascii="宋体" w:hAnsi="宋体" w:eastAsia="宋体" w:cs="宋体"/>
          <w:b/>
          <w:bCs/>
          <w:color w:val="auto"/>
          <w:sz w:val="28"/>
          <w:szCs w:val="28"/>
          <w:highlight w:val="none"/>
          <w:lang w:val="en-US" w:eastAsia="zh-CN" w:bidi="ar-SA"/>
        </w:rPr>
        <w:t>3.4信息安全保障需求</w:t>
      </w:r>
      <w:bookmarkEnd w:id="38"/>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39" w:name="_Toc10999"/>
      <w:r>
        <w:rPr>
          <w:rFonts w:hint="eastAsia" w:ascii="宋体" w:hAnsi="宋体" w:eastAsia="宋体" w:cs="宋体"/>
          <w:b/>
          <w:bCs/>
          <w:color w:val="auto"/>
          <w:sz w:val="21"/>
          <w:szCs w:val="21"/>
          <w:highlight w:val="none"/>
          <w:lang w:val="en-US" w:eastAsia="zh-CN" w:bidi="ar-SA"/>
        </w:rPr>
        <w:t>3.4.1物理安全</w:t>
      </w:r>
      <w:bookmarkEnd w:id="39"/>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通过环境安全、设备安全、媒体安全等措施，保护系统设备、设施、媒体和信息，使之不因自然灾害、环境事故以及人为物理操作失误或错误，不因各种以物理手段进行违法犯罪活动，而造成破坏、丢失。</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40" w:name="_Toc32385"/>
      <w:r>
        <w:rPr>
          <w:rFonts w:hint="eastAsia" w:ascii="宋体" w:hAnsi="宋体" w:eastAsia="宋体" w:cs="宋体"/>
          <w:b/>
          <w:bCs/>
          <w:color w:val="auto"/>
          <w:sz w:val="21"/>
          <w:szCs w:val="21"/>
          <w:highlight w:val="none"/>
          <w:lang w:val="en-US" w:eastAsia="zh-CN" w:bidi="ar-SA"/>
        </w:rPr>
        <w:t>3.4.2应用安全</w:t>
      </w:r>
      <w:bookmarkEnd w:id="40"/>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支持多级用户管理，每个用户有用户名和密码，保证可靠性。</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整个系统有一或多个系统管理员，对全网的用户有配置权限，可选的对设备有操作权限，可对每个用户的每个动作进行监控。</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防止视频被非授权范围内使用，包含外部非授权用户使用视频，以及防止内部用户越权使用。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可以限制符合要求的MAC地址或ip地址电脑才能登陆平台，系统应具备白名单登陆平台功能。</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41" w:name="_Toc17602"/>
      <w:r>
        <w:rPr>
          <w:rFonts w:hint="eastAsia" w:ascii="宋体" w:hAnsi="宋体" w:eastAsia="宋体" w:cs="宋体"/>
          <w:b/>
          <w:bCs/>
          <w:color w:val="auto"/>
          <w:sz w:val="21"/>
          <w:szCs w:val="21"/>
          <w:highlight w:val="none"/>
          <w:lang w:val="en-US" w:eastAsia="zh-CN" w:bidi="ar-SA"/>
        </w:rPr>
        <w:t>3.4.3数据安全</w:t>
      </w:r>
      <w:bookmarkEnd w:id="41"/>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在数据传输过程中采用加密手段，利用国家批准的密码算法对数据加密，保证数据安全。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充分考虑各种可能出现的非法访问、恶意攻击、设备故障等因素，切实保障视频存储安全。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对数据资源访问规定不同的访问等级，不同用户只可访问经过授权的数据资源。同时，要加强对数据资源访问的安全审计。</w:t>
      </w:r>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42" w:name="_Toc23503"/>
      <w:r>
        <w:rPr>
          <w:rFonts w:hint="eastAsia" w:ascii="宋体" w:hAnsi="宋体" w:eastAsia="宋体" w:cs="宋体"/>
          <w:b/>
          <w:bCs/>
          <w:color w:val="auto"/>
          <w:sz w:val="28"/>
          <w:szCs w:val="28"/>
          <w:highlight w:val="none"/>
          <w:lang w:val="en-US" w:eastAsia="zh-CN" w:bidi="ar-SA"/>
        </w:rPr>
        <w:t>3.5信息资源共享需求</w:t>
      </w:r>
      <w:bookmarkEnd w:id="42"/>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上级单位和其他相关单位的信息资源共享在保障网络安全的前提下，通过《安全防范视频监控联网系统信息传输、交换、控制技术要求》（GB/T 28181-2016）规范进行信息资源对接共享。</w:t>
      </w:r>
    </w:p>
    <w:p>
      <w:pPr>
        <w:rPr>
          <w:rFonts w:hint="eastAsia"/>
          <w:color w:val="auto"/>
          <w:highlight w:val="none"/>
          <w:lang w:val="en-US" w:eastAsia="zh-CN"/>
        </w:rPr>
      </w:pPr>
      <w:bookmarkStart w:id="43" w:name="_Toc5098"/>
    </w:p>
    <w:p>
      <w:pPr>
        <w:keepNext/>
        <w:keepLines/>
        <w:numPr>
          <w:numId w:val="0"/>
        </w:numPr>
        <w:tabs>
          <w:tab w:val="left" w:pos="8286"/>
        </w:tabs>
        <w:adjustRightInd w:val="0"/>
        <w:snapToGrid w:val="0"/>
        <w:spacing w:before="120" w:beforeLines="0" w:beforeAutospacing="0" w:after="120" w:afterLines="0" w:afterAutospacing="0" w:line="360" w:lineRule="auto"/>
        <w:ind w:leftChars="0" w:firstLine="0"/>
        <w:jc w:val="both"/>
        <w:outlineLvl w:val="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四、项目建设方案</w:t>
      </w:r>
      <w:bookmarkEnd w:id="43"/>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bookmarkStart w:id="44" w:name="_Toc961"/>
      <w:r>
        <w:rPr>
          <w:rFonts w:hint="eastAsia" w:ascii="宋体" w:hAnsi="宋体" w:eastAsia="宋体" w:cs="宋体"/>
          <w:b/>
          <w:bCs/>
          <w:color w:val="auto"/>
          <w:sz w:val="28"/>
          <w:szCs w:val="28"/>
          <w:highlight w:val="none"/>
          <w:lang w:val="en-US" w:eastAsia="zh-CN" w:bidi="ar-SA"/>
        </w:rPr>
        <w:t>4.1建设原则</w:t>
      </w:r>
      <w:bookmarkEnd w:id="44"/>
    </w:p>
    <w:p>
      <w:pPr>
        <w:widowControl/>
        <w:numPr>
          <w:ilvl w:val="0"/>
          <w:numId w:val="3"/>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统一标准原则</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在系统建设中，严格按照GB/T 28181-2016《安全防范视频监控联网系统传输、交换、控制技术要求》，建设村级高清视频监控系统，确保高清监控系统互联互通。</w:t>
      </w:r>
    </w:p>
    <w:p>
      <w:pPr>
        <w:widowControl/>
        <w:numPr>
          <w:ilvl w:val="0"/>
          <w:numId w:val="3"/>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先进实用原则</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系统建设中，既要满足各业务需求，又要充分考虑未来发展需求，采用的系统必须用先进、成熟、主流的技术；采用的产品必须质量达标，性能稳定，能持续有效运行；采用的应用软件必须界面友好、操作简便，满足实战需求。</w:t>
      </w:r>
    </w:p>
    <w:p>
      <w:pPr>
        <w:widowControl/>
        <w:numPr>
          <w:ilvl w:val="0"/>
          <w:numId w:val="3"/>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资源共享原则</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在系统建设中，要充分论证、科学规划、合理布建，站在全局一盘棋的角度，满足大公安的应用需求，坚持视频资源高度共享。要结合实际，充分考虑实战应用和政府其他部门视频共享的需求。</w:t>
      </w:r>
      <w:bookmarkStart w:id="45" w:name="_Toc31737"/>
      <w:bookmarkStart w:id="46" w:name="_Toc518293837"/>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4.2前端设计</w:t>
      </w:r>
      <w:bookmarkEnd w:id="45"/>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47" w:name="_Toc19339"/>
      <w:r>
        <w:rPr>
          <w:rFonts w:hint="eastAsia" w:ascii="宋体" w:hAnsi="宋体" w:eastAsia="宋体" w:cs="宋体"/>
          <w:b/>
          <w:bCs/>
          <w:color w:val="auto"/>
          <w:sz w:val="21"/>
          <w:szCs w:val="21"/>
          <w:highlight w:val="none"/>
          <w:lang w:val="en-US" w:eastAsia="zh-CN" w:bidi="ar-SA"/>
        </w:rPr>
        <w:t>4.2.1拓扑图</w:t>
      </w:r>
      <w:bookmarkEnd w:id="47"/>
    </w:p>
    <w:p>
      <w:pPr>
        <w:rPr>
          <w:rFonts w:hint="eastAsia"/>
          <w:color w:val="auto"/>
          <w:highlight w:val="none"/>
        </w:rPr>
      </w:pPr>
      <w:r>
        <w:rPr>
          <w:rFonts w:hint="eastAsia" w:ascii="宋体" w:hAnsi="宋体" w:eastAsia="宋体" w:cs="宋体"/>
          <w:color w:val="auto"/>
          <w:sz w:val="21"/>
          <w:szCs w:val="21"/>
          <w:highlight w:val="none"/>
          <w:lang w:val="en-US" w:eastAsia="zh-CN" w:bidi="ar-SA"/>
        </w:rPr>
        <w:pict>
          <v:shape id="图片 2" o:spid="_x0000_s1029" type="#_x0000_t75" style="height:220.15pt;width:450.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bookmarkEnd w:id="46"/>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48" w:name="_Toc17882"/>
      <w:r>
        <w:rPr>
          <w:rFonts w:hint="eastAsia" w:ascii="宋体" w:hAnsi="宋体" w:eastAsia="宋体" w:cs="宋体"/>
          <w:b/>
          <w:bCs/>
          <w:color w:val="auto"/>
          <w:sz w:val="21"/>
          <w:szCs w:val="21"/>
          <w:highlight w:val="none"/>
          <w:lang w:val="en-US" w:eastAsia="zh-CN" w:bidi="ar-SA"/>
        </w:rPr>
        <w:t>4.2.2前端高清视频监控设计</w:t>
      </w:r>
      <w:bookmarkEnd w:id="48"/>
    </w:p>
    <w:p>
      <w:pPr>
        <w:keepNext/>
        <w:keepLines/>
        <w:widowControl/>
        <w:numPr>
          <w:numId w:val="0"/>
        </w:numPr>
        <w:tabs>
          <w:tab w:val="left" w:pos="8286"/>
        </w:tabs>
        <w:wordWrap/>
        <w:adjustRightInd w:val="0"/>
        <w:snapToGrid w:val="0"/>
        <w:spacing w:before="0" w:after="0" w:line="360" w:lineRule="auto"/>
        <w:ind w:left="0" w:leftChars="0" w:right="0" w:firstLine="422" w:firstLineChars="200"/>
        <w:jc w:val="left"/>
        <w:textAlignment w:val="auto"/>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4.2.2.1前端架构设计</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监控系统架构主要分前端、传输、及后端三部分，其中：</w:t>
      </w:r>
    </w:p>
    <w:p>
      <w:pPr>
        <w:widowControl/>
        <w:numPr>
          <w:ilvl w:val="0"/>
          <w:numId w:val="3"/>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前端组成：</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主要包括星光级高清网络监控摄像机、支架、供电设备、防雷接地装置。前端设备是整个监控系统的眼睛，前端的布点合理，安装质量直接影响系统的应用效率。</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1、摄像机</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摄像机是治安高清监控系统重要组成设备，用于视频图像的采集，主要分为高清网络枪机和高清网络球机，根据应用场合采用枪机或球机或枪球结合模式，合理配置以满足图像采集的效果要求与经济性要求。</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支架是摄像机安装固定的重要组件，根据摄像机安装的位置，可以合理选择枪机支架或球机支架。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3、补光灯（根据环境情况配置）</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光灯是枪机必要的夜视补光设备，为了满足夜视采集图像效果好，可以合理调整补光灯照射角度(球机不需要补光灯)。避免把补光灯安装在摄像机正对的位置，尽量使光源最大光强方向与垂线方向夹角小于65°，并能按实际需要进行手动调整光源照射方向；补光灯与摄像机保持一定的距离，并以高出摄像机为宜。</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4、防雷器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电源防雷器（SPD）又名避雷器，浪涌保护器，电涌保护器。主要防止摄像机被雷电击中，造成摄像机等设备的损坏，传输中断、系统瘫痪等问题。</w:t>
      </w:r>
    </w:p>
    <w:p>
      <w:pPr>
        <w:widowControl/>
        <w:numPr>
          <w:ilvl w:val="0"/>
          <w:numId w:val="3"/>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后端组成：</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主要包括综合管理系统及硬件、存储系统及硬件、控制与调度系统及硬件、显示系统及硬件。</w:t>
      </w:r>
    </w:p>
    <w:p>
      <w:pPr>
        <w:ind w:firstLine="560"/>
        <w:rPr>
          <w:color w:val="auto"/>
          <w:highlight w:val="none"/>
        </w:rPr>
      </w:pPr>
      <w:r>
        <w:rPr>
          <w:rFonts w:ascii="Tahoma" w:hAnsi="Tahoma" w:eastAsia="微软雅黑" w:cs="黑体"/>
          <w:color w:val="auto"/>
          <w:sz w:val="22"/>
          <w:szCs w:val="22"/>
          <w:highlight w:val="none"/>
          <w:lang w:val="en-US" w:eastAsia="zh-CN" w:bidi="ar-SA"/>
        </w:rPr>
        <w:pict>
          <v:shape id="图片 3" o:spid="_x0000_s1030" type="#_x0000_t75" style="height:192.95pt;width:393.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widowControl/>
        <w:wordWrap/>
        <w:adjustRightInd w:val="0"/>
        <w:snapToGrid w:val="0"/>
        <w:spacing w:after="0" w:line="36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架构示意图</w:t>
      </w:r>
    </w:p>
    <w:p>
      <w:pPr>
        <w:keepNext/>
        <w:keepLines/>
        <w:widowControl/>
        <w:numPr>
          <w:numId w:val="0"/>
        </w:numPr>
        <w:tabs>
          <w:tab w:val="left" w:pos="8286"/>
        </w:tabs>
        <w:wordWrap/>
        <w:adjustRightInd w:val="0"/>
        <w:snapToGrid w:val="0"/>
        <w:spacing w:before="0" w:after="0" w:line="360" w:lineRule="auto"/>
        <w:ind w:left="0" w:leftChars="0" w:right="0" w:firstLine="422" w:firstLineChars="200"/>
        <w:jc w:val="left"/>
        <w:textAlignment w:val="auto"/>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4.2.2.2图像处理技术设计</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H.265编解码技术</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H.265标准全称为高效视频编码(High Efficiency Video Coding)，H.265标准围绕着现有的视频编码标准H.264，保留原来的某些技术，同时对一些相关的技术加以改进。新技术使用先进的技术用以改善码流、编码质量、延时和算法复杂度之间的关系，达到最优化设置。具体的研究内容包括：提高压缩效率、提高鲁棒性和错误恢复能力、减少实时的时延、减少信道获取时间和随机接入时延、降低复杂度等。H264由于算法优化，可以低于1Mbps的速度实现标清数字图像传送；H265则可以实现利用1~2Mbps的传输速度传送720P（分辨率1280*720）普通高清音视频传送。</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起H.264/AVC，H.265/HEVC提供了更多不同的工具来降低码率，以编码单位来说，H.264中每个宏块(marcoblock,MB)大小都是固定的16x16像素，而H.265的编码单位可以选择从最小的8x8到最大的64x64。信息量不多的区域（颜色变化不明显，比如车体的红色部分和地面的灰色部分）划分的宏块较大，编码后的码字较少，而细节多的地方（轮胎）划分的宏块就相应的小和多一些，编码后的码字较多，这样就相当于对图像进行了有重点的编码，从而降低了整体的码率，编码效率就相应提高了。同时，H.265的帧内预测模式支持33种方向（H.264只支持8种）,并且提供了更好的运动补偿处理和矢量预测方法。</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265旨在在有限带宽下传输更高质量的网络视频，仅需原先的一半带宽即可播放相同质量的视频编解码技术。由于编解码效率的提高，在传输带宽、存储空间具有明显的节省投资的作用，且为后续更高视频分辨率的发展提供技术基础。</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纠错技术</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网络摄像机在通过网络发送视频数据时，如果碰到网络异常，通信不稳定，丢包率高，就会导致接收的数据包不完整，无法正常解码回放，图像出现花屏和卡顿等现场。</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送数据时，将要发送的数据附加上一定的冗余纠错码一并发送，接收方则根据纠错码对数据进行差错检测，如发现差错，由接收方采用SEC恢复算法将丢失的报文恢复出来，从而能够有效提升视频观看效果，避免图像花屏、视频卡顿现象发生。通过这项SEC超强纠错技术，智能网络摄像机可以实现在网络丢包率不超过20%时，实现图像正常显示，无花屏和卡顿现象发生。</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带宽自适应</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网络状况差时，图像因网络传输中数据堵塞而连续性差、画面卡顿。可通过带宽自适应技术在网络带宽不足而导致系统自动降低编码码率时，适当降低图像的画质（清晰度），但画面依然流畅、连续可看。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根据丢包率数据判断网络带宽是否足够；在网络带宽不足时，摄像机动态设置一个比用户设置的编码码率低的值，使摄像机编码的码率适应当前的传输网络带宽；摄像机如果判断带宽充足时，则会动态上调编码的码率值，码率上限为用户配置的码率值。</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区域裁剪/ePTZ技术</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裁剪/ePTZ技术，用户可以在监控画面内对重点想关注的任一局部区域进行ePTZ操作（平移、放大），并对该区域进行裁剪放大显示，并将选中的区域视频通过摄像机子码流往平台传输。用户查看监控录像时，可以只连接摄像的子码流，对于画面内其他不关注的部位则不需要通过网络传输，从而降低视频流传输对网络带宽的占用和对存储容量的需求。也可以在平台实现一路看全景画面，另一路看需要放大监控的重点区域，实现全局和重点区域相结合的方式。</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ROI图像感兴趣区域</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网络摄像机使得图像清晰度有了质的飞跃，同时也给高清视频监控系统带来了带宽、存储等连带问题。为了减轻带宽传输视频数据及存储数据的压力，进一步优化高清视频监控系统在各行业领域的应用和推广。依据客户在观看监控视频时，通常只对某一些特定区域感兴趣的这一特点（通常为视频关键区域内的图像要尽可能清晰，其他部分图像可以相对模糊一些）。网络摄像机内置ROI图像感兴趣区域压缩编码技术，在带宽不足的条件下，保障区域有效监控。</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以在监控画面上指定一个或多个区域，让这些区域的图像质量和其他区域不同，可以指定感兴趣区域图像质量高于/低于其他区域。即在图像中对感兴趣区域进行近无损压缩（高码流），而对其他非感兴趣区域进行有损压缩（低码流）。这样既可使得重构图像有较高的视频质量，又可得到较高的压缩比，很好地解决了带宽要求高、存储空间大的问题。</w:t>
      </w:r>
    </w:p>
    <w:p>
      <w:pPr>
        <w:keepNext/>
        <w:keepLines/>
        <w:widowControl/>
        <w:numPr>
          <w:numId w:val="0"/>
        </w:numPr>
        <w:tabs>
          <w:tab w:val="left" w:pos="8286"/>
        </w:tabs>
        <w:wordWrap/>
        <w:adjustRightInd w:val="0"/>
        <w:snapToGrid w:val="0"/>
        <w:spacing w:before="0" w:after="0" w:line="360" w:lineRule="auto"/>
        <w:ind w:left="0" w:leftChars="0" w:right="0" w:firstLine="422" w:firstLineChars="200"/>
        <w:jc w:val="left"/>
        <w:textAlignment w:val="auto"/>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4.2.2.3功能性设计</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1视频采集</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为满足中心实时视频预览和存储录像回放查看的要求，前端感知分系统应具备如下功能：</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能够采集和传输不同分辨率下的昼夜实时视频；</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支持视频的亮度、对比度、饱和度等参数的动态调节；</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2实时透雾</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基于大气透射模型，区分图像不同区域景深与雾浓度进行滤波处理，同时融合图像增强技术与图像复原技术，获得准确、自然的透雾图像。</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3智能控制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1）智能Smart IR</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新一代Smart IR技术可自动检测画面亮度，通过内部算法自适应调节红外灯亮度以及画面亮度，从而达到抑制近处物体过曝同时保证背景区域亮度的效果。</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2）ABF自动背焦调节</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部分枪机具有ABF(自动后焦调节)功能，通过摄像机上的ABF按钮或者客户端/IE上的辅助聚焦等按钮可自动或手动实现图像传感器的细微调整，从而达到微调焦距的作用，方便了安装调试。</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3）AF自动对焦</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普通电动镜头受减速齿轮控制，聚集速度慢，且不能实现实时全自动聚焦，只支持一键辅助聚焦；齿轮不具备自锁功能，所以不抗震；</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电动镜头支持变倍后自动对焦功能（AF），无需手动聚清，且聚焦速度快，同时具有自锁功能，抗震效果好。</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4智能侦测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1）行为侦测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智能行为侦测功能支持越界、进入/离开区域、区域入侵、徘徊、人员聚焦、快速移动、非法停车、物品遗留/拿取等异常事件的自动侦测与报警，变被动监控为主动防控；</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摄像机侦测到以上行为后可联动报警及录像等功能。</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2）人脸侦测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支持对画面中的人脸进行自动检测。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3）音频侦测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音频侦测功能可对声音的强度进行检测，当检测到无音源输入或某一时刻音频强度超过声音强度阈值时，可实现自动预警。同时具备环境噪音过滤功能，可通过软件算法处理的方式缓解背景噪声对音质带来的影响。</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4）场景侦测</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视频质量诊断技术可对场景变更、图像虚焦问题进行自动分析检测，并联动报警；</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场景模式可对各种场景下的参数进行预设，方便客户选择；</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支持日夜两套参数配置，可实现自动切换。</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5运行维护</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为实现中心实时监控摄像机的设备状态，系统具备如下功能：</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能够提供摄像机的工作状态；</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能够支持中心对摄像机的批量校时；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能够远程重启摄像机；</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bookmarkStart w:id="49" w:name="_Ref367204729"/>
      <w:bookmarkStart w:id="50" w:name="_Toc326565329"/>
      <w:bookmarkStart w:id="51" w:name="_Toc329347906"/>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6防雷接地</w:t>
      </w:r>
      <w:bookmarkEnd w:id="49"/>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为保护摄像机不受到直接雷击而在立杆上设计安装避雷针，避雷针采用不小于φ25㎜的圆钢，并和立杆一次成型。在设备箱内我们对电源、信号线安装相应的防感应雷措施，采用二合一防雷模块。</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本方案严格执行国家的有关标准和规范，立杆防雷接地电阻≦10Ω。</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地网布置依据地形进行设计。立杆的基础由钢筋网加混凝土构成，首先用四根Ф50毫米的钢管或50×50×5mm的角钢作为接地极，同时用镀锌扁钢把四根接地极焊接形成接地网的一部分，再此接地网与法兰盘进行焊接，钢管或角钢需经过热镀锌工艺处理，以增加抗腐性能和提高其导电性能。当土壤电阻率太高而不能满足要求时，采用垂直接地极＋减阻剂的方法使地网接地电阻符合要求。</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bookmarkStart w:id="52" w:name="_Ref367204742"/>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7前端供电</w:t>
      </w:r>
      <w:bookmarkEnd w:id="50"/>
      <w:bookmarkEnd w:id="51"/>
      <w:bookmarkEnd w:id="52"/>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前端设备视工程实际情况，可采用集中供电或分散式供电，重要点位应配备相应的备用电源装置。本期项目结合各监控点位勘察实际情况，考虑投资、工程实施难度等因素，选择分散式供电方案。各摄像机终端在就近的公共供电网取一路220V市电，市电引电端经加装自动重合闸开关（含SPD），布线到设备箱使用，保证了引入部分电源线路的漏电及防雷防护。</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式供电：适用于前端监控点在一个区域内相对比较集中的情况。从附近的供用电低压台区设搭火点，引到路径最近或施工最便捷的前端监控点，此监控点的电源提供给附近其他监控点以挂葫芦的方式取电。采用集中供电具有电源质量相对稳定，产权分界明晰和易于维护的优点，也是前端感知系统主要采用的供电方式。</w:t>
      </w:r>
    </w:p>
    <w:p>
      <w:pPr>
        <w:ind w:firstLine="560"/>
        <w:rPr>
          <w:color w:val="auto"/>
          <w:highlight w:val="none"/>
        </w:rPr>
      </w:pPr>
      <w:r>
        <w:rPr>
          <w:rFonts w:ascii="Tahoma" w:hAnsi="Tahoma" w:eastAsia="微软雅黑" w:cs="黑体"/>
          <w:color w:val="auto"/>
          <w:sz w:val="22"/>
          <w:szCs w:val="22"/>
          <w:highlight w:val="none"/>
          <w:lang w:val="en-US" w:eastAsia="zh-CN" w:bidi="ar-SA"/>
        </w:rPr>
        <w:pict>
          <v:shape id="图片 4" o:spid="_x0000_s1031" type="#_x0000_t75" style="height:193.75pt;width:356.4pt;rotation:0f;" o:ole="f" fillcolor="#FFFFFF" filled="f" o:preferrelative="t" stroked="f" coordorigin="0,0" coordsize="21600,21600">
            <v:fill on="f" color2="#FFFFFF" focus="0%"/>
            <v:imagedata cropleft="840f" croptop="21651f" cropright="848f" cropbottom="19862f" gain="65536f" blacklevel="0f" gamma="0" o:title="" r:id="rId14"/>
            <o:lock v:ext="edit" position="f" selection="f" grouping="f" rotation="f" cropping="f" text="f" aspectratio="t"/>
            <w10:wrap type="none"/>
            <w10:anchorlock/>
          </v:shape>
        </w:pict>
      </w:r>
    </w:p>
    <w:p>
      <w:pPr>
        <w:widowControl/>
        <w:wordWrap/>
        <w:adjustRightInd w:val="0"/>
        <w:snapToGrid w:val="0"/>
        <w:spacing w:after="0" w:line="36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bookmarkStart w:id="53" w:name="_Toc355941143"/>
      <w:r>
        <w:rPr>
          <w:rFonts w:hint="eastAsia" w:ascii="宋体" w:hAnsi="宋体" w:eastAsia="宋体" w:cs="宋体"/>
          <w:color w:val="auto"/>
          <w:sz w:val="21"/>
          <w:szCs w:val="21"/>
          <w:highlight w:val="none"/>
        </w:rPr>
        <w:t>监控点集中式供电接线图</w:t>
      </w:r>
      <w:bookmarkEnd w:id="53"/>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散式供电：在前端设备的安装位置附近接取电源。适用于较分散的前端监控点供电，以及无法提供集中供电条件的现场安装环境。在这种供电方式下，电源供应的质量较差，维护比较困难，在无法集中供电的情况下可采取此供电方式。</w:t>
      </w:r>
    </w:p>
    <w:p>
      <w:pPr>
        <w:ind w:firstLine="560"/>
        <w:rPr>
          <w:color w:val="auto"/>
          <w:highlight w:val="none"/>
        </w:rPr>
      </w:pPr>
      <w:r>
        <w:rPr>
          <w:rFonts w:ascii="Tahoma" w:hAnsi="Tahoma" w:eastAsia="微软雅黑" w:cs="黑体"/>
          <w:color w:val="auto"/>
          <w:sz w:val="22"/>
          <w:szCs w:val="22"/>
          <w:highlight w:val="none"/>
          <w:lang w:val="en-US" w:eastAsia="zh-CN" w:bidi="ar-SA"/>
        </w:rPr>
        <w:pict>
          <v:shape id="图片 5" o:spid="_x0000_s1032" type="#_x0000_t75" style="height:190.7pt;width:314.85pt;rotation:0f;" o:ole="f" fillcolor="#FFFFFF" filled="f" o:preferrelative="t" stroked="f" coordorigin="0,0" coordsize="21600,21600">
            <v:fill on="f" color2="#FFFFFF" focus="0%"/>
            <v:imagedata croptop="19623f" cropbottom="17832f" gain="65536f" blacklevel="0f" gamma="0" o:title="" r:id="rId15"/>
            <o:lock v:ext="edit" position="f" selection="f" grouping="f" rotation="f" cropping="f" text="f" aspectratio="t"/>
            <w10:wrap type="none"/>
            <w10:anchorlock/>
          </v:shape>
        </w:pict>
      </w:r>
    </w:p>
    <w:p>
      <w:pPr>
        <w:widowControl/>
        <w:wordWrap/>
        <w:adjustRightInd w:val="0"/>
        <w:snapToGrid w:val="0"/>
        <w:spacing w:after="0" w:line="36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bookmarkStart w:id="54" w:name="_Toc355941144"/>
      <w:r>
        <w:rPr>
          <w:rFonts w:hint="eastAsia" w:ascii="宋体" w:hAnsi="宋体" w:eastAsia="宋体" w:cs="宋体"/>
          <w:color w:val="auto"/>
          <w:sz w:val="21"/>
          <w:szCs w:val="21"/>
          <w:highlight w:val="none"/>
        </w:rPr>
        <w:t>监控点分散式供电接线图</w:t>
      </w:r>
      <w:bookmarkEnd w:id="54"/>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黑体" w:cs="宋体"/>
          <w:b/>
          <w:bCs/>
          <w:color w:val="auto"/>
          <w:spacing w:val="15"/>
          <w:sz w:val="21"/>
          <w:szCs w:val="21"/>
          <w:highlight w:val="none"/>
          <w:lang w:val="en-US" w:eastAsia="zh-CN" w:bidi="ar-SA"/>
        </w:rPr>
        <w:t>4.2.2.3.</w:t>
      </w:r>
      <w:r>
        <w:rPr>
          <w:rFonts w:hint="eastAsia" w:ascii="宋体" w:hAnsi="宋体" w:eastAsia="宋体" w:cs="宋体"/>
          <w:b/>
          <w:bCs/>
          <w:color w:val="auto"/>
          <w:spacing w:val="15"/>
          <w:sz w:val="21"/>
          <w:szCs w:val="21"/>
          <w:highlight w:val="none"/>
          <w:lang w:val="en-US" w:eastAsia="zh-CN" w:bidi="ar-SA"/>
        </w:rPr>
        <w:t>8前端布线</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根据本工程所提出的要求以及按照一贯严格遵守的工程建设原则、设计思想，并严格遵守以下国家和行业有关部门制定的各项标准和规范：</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商用建筑布线标准（EIA/TIA568B）</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国际布线标准（ISO11801）</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建筑与建群综合布线系统工程设计规范（CECS 72：97）</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建筑与建群综合布线系统工程施工与验收标准（CECS 82：97）</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民用电器建筑设计规范（JGJ/T16-92）</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中国电器装置安装工程施工及验收规范（CBJ232-82）</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监控系统中的影像信号通过线材传输到主机中，线材除了要求信号损耗率小外，还应重视环境对信号的影响，即屏蔽性能应高。而管材用来保护线材，也应根据保护级别不同，选用相应的管材。</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本工程所有视频电缆在布设过程中，须自摄像机直接架设至机房内，中间不得产生任何断点及接头。</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电缆布设过程中应确保所有电缆均在钢管、金属电管或桥架内不能暴露在外，应尽量避开恶劣环境条件或易使管线损伤地段，应避开干扰较大区域。</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布线过程中要标记清楚、明了，易于改线、维护、管理。</w:t>
      </w:r>
    </w:p>
    <w:p>
      <w:pPr>
        <w:keepNext/>
        <w:keepLines/>
        <w:widowControl/>
        <w:numPr>
          <w:numId w:val="0"/>
        </w:numPr>
        <w:tabs>
          <w:tab w:val="left" w:pos="8286"/>
        </w:tabs>
        <w:wordWrap/>
        <w:adjustRightInd w:val="0"/>
        <w:snapToGrid w:val="0"/>
        <w:spacing w:before="0" w:after="0" w:line="360" w:lineRule="auto"/>
        <w:ind w:left="0" w:leftChars="0" w:right="0" w:firstLine="422" w:firstLineChars="200"/>
        <w:jc w:val="left"/>
        <w:textAlignment w:val="auto"/>
        <w:outlineLvl w:val="3"/>
        <w:rPr>
          <w:rFonts w:hint="eastAsia" w:ascii="宋体" w:hAnsi="宋体" w:eastAsia="宋体" w:cs="宋体"/>
          <w:b/>
          <w:bCs/>
          <w:color w:val="auto"/>
          <w:sz w:val="21"/>
          <w:szCs w:val="21"/>
          <w:highlight w:val="none"/>
          <w:lang w:val="en-US" w:eastAsia="zh-CN" w:bidi="ar-SA"/>
        </w:rPr>
      </w:pPr>
      <w:bookmarkStart w:id="55" w:name="_Toc7000711"/>
      <w:r>
        <w:rPr>
          <w:rFonts w:hint="eastAsia" w:ascii="宋体" w:hAnsi="宋体" w:eastAsia="宋体" w:cs="宋体"/>
          <w:b/>
          <w:bCs/>
          <w:color w:val="auto"/>
          <w:sz w:val="21"/>
          <w:szCs w:val="21"/>
          <w:highlight w:val="none"/>
          <w:lang w:val="en-US" w:eastAsia="zh-CN" w:bidi="ar-SA"/>
        </w:rPr>
        <w:t>2.2.2.3主要设备参数</w:t>
      </w:r>
    </w:p>
    <w:p>
      <w:pPr>
        <w:widowControl/>
        <w:numPr>
          <w:ilvl w:val="0"/>
          <w:numId w:val="4"/>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800万像素星光级摄像机 DS-2C3T86FDWDV2-I3S</w:t>
      </w:r>
    </w:p>
    <w:tbl>
      <w:tblPr>
        <w:tblStyle w:val="31"/>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8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453" w:type="dxa"/>
            <w:tcBorders>
              <w:top w:val="single" w:color="auto" w:sz="4" w:space="0"/>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星光级超低照度：0.005Lux @(F1.2,AGC ON) ,0 Lux with 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具有800万像素CMOS传感器。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最大分辨率（3840×2160）。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需具有20路取流路数能力，以满足更多用户同时在线访问摄像机视频。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IR红外30-40米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支持H.264、H.265、MJPEG视频编码格式，且具有HighProfile编码能力。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信噪比不小于58dB。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需支持宽动态功能。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支持智能后检索，配合NVR 支持事件的二次检索分析。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摄像机能够在-30~60摄氏度，湿度小于93%环境下稳定工作。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需具有2路报警输入、2路报警输出、1个音频输入、1个音频输出接口。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不低于IP67防尘防水等级。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需具有1个RJ-4510M/100M自适应网络接口。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需支持DC12V供电，且在不小于DC12V±30%范围内变化时可以正常工作。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83"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453"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设备工作状态时，支持空气放电8kV，接触放电6kV，通讯端口支持6kV峰值电压。</w:t>
            </w:r>
          </w:p>
        </w:tc>
      </w:tr>
      <w:bookmarkEnd w:id="55"/>
    </w:tbl>
    <w:p>
      <w:pPr>
        <w:rPr>
          <w:rFonts w:hint="eastAsia"/>
          <w:color w:val="auto"/>
          <w:highlight w:val="none"/>
          <w:lang w:val="en-US" w:eastAsia="zh-CN"/>
        </w:rPr>
      </w:pPr>
      <w:bookmarkStart w:id="56" w:name="_Toc9930"/>
    </w:p>
    <w:p>
      <w:pPr>
        <w:keepNext/>
        <w:keepLines/>
        <w:widowControl/>
        <w:tabs>
          <w:tab w:val="left" w:pos="8286"/>
        </w:tabs>
        <w:wordWrap/>
        <w:adjustRightInd w:val="0"/>
        <w:snapToGrid w:val="0"/>
        <w:spacing w:before="0" w:after="0" w:line="360" w:lineRule="auto"/>
        <w:ind w:left="0" w:leftChars="0" w:right="0" w:firstLine="0" w:firstLineChars="0"/>
        <w:jc w:val="left"/>
        <w:textAlignment w:val="auto"/>
        <w:outlineLvl w:val="1"/>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4.3存储设计</w:t>
      </w:r>
      <w:bookmarkEnd w:id="56"/>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57" w:name="_Toc13200"/>
      <w:r>
        <w:rPr>
          <w:rFonts w:hint="eastAsia" w:ascii="宋体" w:hAnsi="宋体" w:eastAsia="宋体" w:cs="宋体"/>
          <w:b/>
          <w:bCs/>
          <w:color w:val="auto"/>
          <w:sz w:val="21"/>
          <w:szCs w:val="21"/>
          <w:highlight w:val="none"/>
          <w:lang w:val="en-US" w:eastAsia="zh-CN" w:bidi="ar-SA"/>
        </w:rPr>
        <w:t>4.3.1架构优势</w:t>
      </w:r>
      <w:bookmarkEnd w:id="57"/>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宋体" w:cs="宋体"/>
          <w:b/>
          <w:bCs/>
          <w:color w:val="auto"/>
          <w:spacing w:val="15"/>
          <w:sz w:val="21"/>
          <w:szCs w:val="21"/>
          <w:highlight w:val="none"/>
          <w:lang w:val="en-US" w:eastAsia="zh-CN" w:bidi="ar-SA"/>
        </w:rPr>
        <w:t>4.3.1.1关键部件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采用双GE主机接口，冗余电源、散热风扇；甚至可以采用双系统盘并进行Raid保护。</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在冗余部件故障的情况下，可以迅速更换，丝毫不影响系统的正常运行，从而，有效保证业务的连续性。</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宋体" w:cs="宋体"/>
          <w:b/>
          <w:bCs/>
          <w:color w:val="auto"/>
          <w:spacing w:val="15"/>
          <w:sz w:val="21"/>
          <w:szCs w:val="21"/>
          <w:highlight w:val="none"/>
          <w:lang w:val="en-US" w:eastAsia="zh-CN" w:bidi="ar-SA"/>
        </w:rPr>
        <w:t>4.3.1.2磁盘碎片避免</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盘碎片的分类简单说，分为外部碎片和内部碎片。内部碎片是由于存储数据块的大小无法占满簇空间而生成的，会对磁盘空间造成浪费。如果仅仅简单通过减小簇的大小来降低磁盘空间的损失，将增加整个磁盘簇的数量，就会增加文件查询时间。</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碎片是因为存储数据块被分散保存到整个磁盘的不同地方，而不是连续地保存在磁盘连续的簇中。这种数据碎片不会在系统中引起任何问题，但文件碎片过多会使系统在读文件的时候来回寻找，引起系统性能下降，甚至缩短硬盘寿命。</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基于如上技术分析，所以，只要我们能够保证视频文件的顺序存储，并且处理好磁盘最小存储单位划分的合理性即可实现在保证磁盘检索性能的基础上避免磁盘碎片的生成。</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云存储节点的系统软件的底层存储模块通过专利的视频流动态块控制技术、视频块连续写入技术和合理空间回收技术相结合，对视频数据存储进行优化，从而，既保证了数据的连续性，又避免了磁盘空洞，从根本上杜绝磁盘碎片的产生，保障读、写、查询、删除业务的高速、高效。既延长了磁盘寿命，又为秒级索引和回放提供了底层技术支撑。</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宋体" w:cs="宋体"/>
          <w:b/>
          <w:bCs/>
          <w:color w:val="auto"/>
          <w:spacing w:val="15"/>
          <w:sz w:val="21"/>
          <w:szCs w:val="21"/>
          <w:highlight w:val="none"/>
          <w:lang w:val="en-US" w:eastAsia="zh-CN" w:bidi="ar-SA"/>
        </w:rPr>
        <w:t>4.3.1.3优化RAID技术</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统Raid技术为结构化数据安全设计，旨在充分保证数据的正确性和完整性的基础上保证业务的连续性，而视频监控系统的视频流媒体为非结构化数据，具备一定的错误容忍性，对业务的连续性要求相对更高。因此，传统Raid技术在视频监控的应用场景下无法提供完美的系统服务。</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基于流媒体的连续数据、循环写入、顺序读写等非结构化数据的特点，采用优化的流媒体Raid存储技术对传统存储读写优化，基于流媒体接入的数量和码流以及Raid组的磁盘数量，根据磁盘吞吐性能自动调整条带深度、IO块大小和并发数量，实现流媒体数据读写性能随Raid组磁盘数量线性增长，极大的增强了整机的读写性能，成功规避了单纯的传统Raid部署难以规避的条带深度与读写性能之间的矛盾，将系统读写性能大幅度提升。</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宋体" w:cs="宋体"/>
          <w:b/>
          <w:bCs/>
          <w:color w:val="auto"/>
          <w:spacing w:val="15"/>
          <w:sz w:val="21"/>
          <w:szCs w:val="21"/>
          <w:highlight w:val="none"/>
          <w:lang w:val="en-US" w:eastAsia="zh-CN" w:bidi="ar-SA"/>
        </w:rPr>
        <w:t>4.3.1.4关键数据保护</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支持将系统盘关键数据备份到数据盘中，并产生多份拷贝；在系统盘损坏时通过插入新的系统盘实现系统盘数据的恢复；支持系统重装后软件自动从数据盘中找出最新且完好的数据恢复系统盘数据库、配置文件、及录像索引文件，恢复到故障前状态，极大地保障了数据安全。</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58" w:name="_Toc24812"/>
      <w:r>
        <w:rPr>
          <w:rFonts w:hint="eastAsia" w:ascii="宋体" w:hAnsi="宋体" w:eastAsia="宋体" w:cs="宋体"/>
          <w:b/>
          <w:bCs/>
          <w:color w:val="auto"/>
          <w:sz w:val="21"/>
          <w:szCs w:val="21"/>
          <w:highlight w:val="none"/>
          <w:lang w:val="en-US" w:eastAsia="zh-CN" w:bidi="ar-SA"/>
        </w:rPr>
        <w:t>4.3.2存储需求计算</w:t>
      </w:r>
      <w:bookmarkEnd w:id="58"/>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r>
        <w:rPr>
          <w:rFonts w:hint="eastAsia" w:ascii="宋体" w:hAnsi="宋体" w:eastAsia="宋体" w:cs="宋体"/>
          <w:b/>
          <w:bCs/>
          <w:color w:val="auto"/>
          <w:spacing w:val="15"/>
          <w:sz w:val="21"/>
          <w:szCs w:val="21"/>
          <w:highlight w:val="none"/>
          <w:lang w:val="en-US" w:eastAsia="zh-CN" w:bidi="ar-SA"/>
        </w:rPr>
        <w:t>4.3.2.1高清前端视频监控存储需求</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根据前端摄像机视频码流，则每路摄像机每天将占用存储空间的计算公式为：</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单路存储一天的容量计算=【XM×3600（秒）×24（小时）×1（路数）×1（天数）】/【8×1024】=XXGB</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例如： </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单路存储一天的容量计算=【4M×3600（秒）×24（小时）×1（路数）×1（天数）】/【8×1024】=42.2G </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根据以上的计算公式，本期高清视频存储计算如下：133路二类点视频,1080P存储30天，每路带宽按4Mbps计算，录像存储裸容量为：180T；</w:t>
      </w:r>
    </w:p>
    <w:p>
      <w:pPr>
        <w:widowControl/>
        <w:numPr>
          <w:numId w:val="0"/>
        </w:numPr>
        <w:wordWrap/>
        <w:adjustRightInd w:val="0"/>
        <w:snapToGrid w:val="0"/>
        <w:spacing w:after="0" w:line="360" w:lineRule="auto"/>
        <w:ind w:left="0" w:leftChars="0" w:right="0" w:firstLine="482" w:firstLineChars="200"/>
        <w:jc w:val="left"/>
        <w:textAlignment w:val="auto"/>
        <w:outlineLvl w:val="4"/>
        <w:rPr>
          <w:rFonts w:hint="eastAsia" w:ascii="宋体" w:hAnsi="宋体" w:eastAsia="宋体" w:cs="宋体"/>
          <w:b/>
          <w:bCs/>
          <w:color w:val="auto"/>
          <w:spacing w:val="15"/>
          <w:sz w:val="21"/>
          <w:szCs w:val="21"/>
          <w:highlight w:val="none"/>
          <w:lang w:val="en-US" w:eastAsia="zh-CN" w:bidi="ar-SA"/>
        </w:rPr>
      </w:pPr>
      <w:bookmarkStart w:id="59" w:name="_Toc15125"/>
      <w:r>
        <w:rPr>
          <w:rFonts w:hint="eastAsia" w:ascii="宋体" w:hAnsi="宋体" w:eastAsia="宋体" w:cs="宋体"/>
          <w:b/>
          <w:bCs/>
          <w:color w:val="auto"/>
          <w:spacing w:val="15"/>
          <w:sz w:val="21"/>
          <w:szCs w:val="21"/>
          <w:highlight w:val="none"/>
          <w:lang w:val="en-US" w:eastAsia="zh-CN" w:bidi="ar-SA"/>
        </w:rPr>
        <w:t>4.3.2.2主要设备参数</w:t>
      </w:r>
      <w:bookmarkEnd w:id="59"/>
    </w:p>
    <w:p>
      <w:pPr>
        <w:widowControl/>
        <w:numPr>
          <w:ilvl w:val="0"/>
          <w:numId w:val="5"/>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r>
        <w:rPr>
          <w:rFonts w:hint="eastAsia" w:ascii="宋体" w:hAnsi="宋体" w:eastAsia="宋体" w:cs="宋体"/>
          <w:color w:val="auto"/>
          <w:sz w:val="21"/>
          <w:szCs w:val="21"/>
          <w:highlight w:val="none"/>
          <w:lang w:val="en-US" w:eastAsia="zh-CN"/>
        </w:rPr>
        <w:t>DS-8664N-I16</w:t>
      </w:r>
    </w:p>
    <w:tbl>
      <w:tblPr>
        <w:tblStyle w:val="31"/>
        <w:tblW w:w="8522"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
        <w:gridCol w:w="7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blHeader/>
        </w:trPr>
        <w:tc>
          <w:tcPr>
            <w:tcW w:w="722"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8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NVR总资源为满负载条件下的最大接入带宽640Mbps、最大存储带宽640Mbps、最大转发带宽640Mbps、最大回放带宽640Mbps。最大接入路数64路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R/4K系列 NVR H.265/16盘位/推荐接入400W或800W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视频输出2路HDMI，1路VGA\HDMI1与VGA1同源，主辅口独立异源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至强解码性能，支持12路1080P解码；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400Mbps超高网络接入带宽，最大支持1200万相机接入；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最大支持16个SATA口，支持满配8T硬盘，录像存储时间进一步延长；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真4K超清输出，双HDMI接口，4K画质；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支持萤石、Ehome以及GB28181协议，实现平台接入；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标准机箱，支持机架安装；3U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16盘位，最大支持8TB硬盘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支持2个HDMI口 +1个VGA高清1080P输出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支持12路1080P解码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最大接入带宽400Mbps，最大支持接入12MP高清IPC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2个千兆网口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自带16进4出报警口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722" w:type="dxa"/>
            <w:tcBorders>
              <w:top w:val="nil"/>
              <w:left w:val="single" w:color="auto" w:sz="4" w:space="0"/>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800" w:type="dxa"/>
            <w:tcBorders>
              <w:top w:val="nil"/>
              <w:left w:val="nil"/>
              <w:bottom w:val="single" w:color="auto" w:sz="4" w:space="0"/>
              <w:right w:val="single" w:color="auto" w:sz="4" w:space="0"/>
            </w:tcBorders>
            <w:vAlign w:val="center"/>
          </w:tcPr>
          <w:p>
            <w:pPr>
              <w:widowControl/>
              <w:wordWrap/>
              <w:adjustRightInd w:val="0"/>
              <w:snapToGrid w:val="0"/>
              <w:spacing w:after="0" w:line="24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2个USB2.0接口+2个USB3.0接口</w:t>
            </w:r>
          </w:p>
        </w:tc>
      </w:tr>
    </w:tbl>
    <w:p>
      <w:pPr>
        <w:adjustRightInd w:val="0"/>
        <w:snapToGrid w:val="0"/>
        <w:spacing w:before="161" w:after="200"/>
        <w:ind w:left="0" w:leftChars="0" w:firstLine="0" w:firstLineChars="0"/>
        <w:rPr>
          <w:rFonts w:hint="eastAsia" w:ascii="宋体" w:hAnsi="宋体" w:eastAsia="宋体" w:cs="宋体"/>
          <w:color w:val="auto"/>
          <w:sz w:val="24"/>
          <w:szCs w:val="22"/>
          <w:highlight w:val="none"/>
          <w:lang w:val="zh-CN" w:eastAsia="zh-CN" w:bidi="zh-CN"/>
        </w:rPr>
      </w:pP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60" w:name="_Toc30334"/>
      <w:r>
        <w:rPr>
          <w:rFonts w:hint="eastAsia" w:ascii="宋体" w:hAnsi="宋体" w:eastAsia="宋体" w:cs="宋体"/>
          <w:b/>
          <w:bCs/>
          <w:color w:val="auto"/>
          <w:sz w:val="21"/>
          <w:szCs w:val="21"/>
          <w:highlight w:val="none"/>
          <w:lang w:val="en-US" w:eastAsia="zh-CN" w:bidi="ar-SA"/>
        </w:rPr>
        <w:t>4.3.3前端安全设计</w:t>
      </w:r>
      <w:bookmarkEnd w:id="60"/>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在前端设备上具有明确提醒用户能力，首次使用设备应修改密码。定期修改密码，且前端设备的口令必须采用大小写字母和数字组成，口令长度不少于8位，关闭不使用的服务端口。</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移动警务视频接入在终端使用、数据传输、应用服务和跨网传输等方面遵循《移动警务视频安全接入规范》。</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本期二类点采用专线，与互联网隔离，保证数据传输的安全。</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61" w:name="_Toc21192"/>
      <w:r>
        <w:rPr>
          <w:rFonts w:hint="eastAsia" w:ascii="宋体" w:hAnsi="宋体" w:eastAsia="宋体" w:cs="宋体"/>
          <w:b/>
          <w:bCs/>
          <w:color w:val="auto"/>
          <w:sz w:val="21"/>
          <w:szCs w:val="21"/>
          <w:highlight w:val="none"/>
          <w:lang w:val="en-US" w:eastAsia="zh-CN" w:bidi="ar-SA"/>
        </w:rPr>
        <w:t>4.3.4网络安全设计</w:t>
      </w:r>
      <w:bookmarkEnd w:id="61"/>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传输链路安全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视频专网的传输安全要按照公安部视频专网建设规范进行，视频专网的链路必须是专用线路或非公共网络的VPN。</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边界访问控制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视频专网管理平台与其它专用网络之间以及社会面资源监控汇聚平台之间采用明确的访问控制措施，部署高性能的防火墙，达到边界安全隔离和入侵防御要求。</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边界接入安全</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专网与公安信息网之间严格遵循《公安信息通信网边界接入平台安全规范（试行）》、《公安信息通信网边界接入平台安全规范（试行）—视频接入部分》等技术规范，视频数据只能允许单向从视频专网传输至公安信息网，在确保安全的条件下接入和共享。</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62" w:name="_Toc17687"/>
      <w:r>
        <w:rPr>
          <w:rFonts w:hint="eastAsia" w:ascii="宋体" w:hAnsi="宋体" w:eastAsia="宋体" w:cs="宋体"/>
          <w:b/>
          <w:bCs/>
          <w:color w:val="auto"/>
          <w:sz w:val="21"/>
          <w:szCs w:val="21"/>
          <w:highlight w:val="none"/>
          <w:lang w:val="en-US" w:eastAsia="zh-CN" w:bidi="ar-SA"/>
        </w:rPr>
        <w:t>4.3.5应用安全设计</w:t>
      </w:r>
      <w:bookmarkEnd w:id="62"/>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用户身份认证</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对于重要的应用，密码长度不少于6位；对于关键的应用，密码长度不少于8位；对于那些最关键的应用，应该考虑多因子认证。</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访问权限控制</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对全网用户进行视频资源访问的权限控制，对每一个用户应按照最小权限原则进行授权。</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用户权限管理</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视频管理平台提供多级用户管理架构，每级用户具有不同的管理权限，根据所赋予的权限可以进行相应的系统访问和监控操作，以防止非法登录和越权操作。</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平台安全加固</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对于网络应用服务器、数据库管理系统、应用程序和其它库文件需要有人员跟踪这些补丁和最新版本发布的情况，及时更新。</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WEB安全防护</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通过WEB防护设备部署在WEB服务器的前端，通过抗扫描、防注入、防跨站脚本、防后门攻击等安全策略加强平台的安全防护能力，最大限度的杜绝平台被黑客入侵的可能。</w:t>
      </w:r>
    </w:p>
    <w:p>
      <w:pPr>
        <w:keepNext/>
        <w:keepLines/>
        <w:widowControl/>
        <w:wordWrap/>
        <w:adjustRightInd w:val="0"/>
        <w:snapToGrid w:val="0"/>
        <w:spacing w:before="0" w:after="0" w:line="360" w:lineRule="auto"/>
        <w:ind w:left="0" w:leftChars="0" w:right="0" w:firstLine="0" w:firstLineChars="0"/>
        <w:jc w:val="left"/>
        <w:textAlignment w:val="auto"/>
        <w:outlineLvl w:val="2"/>
        <w:rPr>
          <w:rFonts w:hint="eastAsia" w:ascii="宋体" w:hAnsi="宋体" w:eastAsia="宋体" w:cs="宋体"/>
          <w:b/>
          <w:bCs/>
          <w:color w:val="auto"/>
          <w:sz w:val="21"/>
          <w:szCs w:val="21"/>
          <w:highlight w:val="none"/>
          <w:lang w:val="en-US" w:eastAsia="zh-CN" w:bidi="ar-SA"/>
        </w:rPr>
      </w:pPr>
      <w:bookmarkStart w:id="63" w:name="_Toc32282"/>
      <w:r>
        <w:rPr>
          <w:rFonts w:hint="eastAsia" w:ascii="宋体" w:hAnsi="宋体" w:eastAsia="宋体" w:cs="宋体"/>
          <w:b/>
          <w:bCs/>
          <w:color w:val="auto"/>
          <w:sz w:val="21"/>
          <w:szCs w:val="21"/>
          <w:highlight w:val="none"/>
          <w:lang w:val="en-US" w:eastAsia="zh-CN" w:bidi="ar-SA"/>
        </w:rPr>
        <w:t>4.3.6数据安全设计</w:t>
      </w:r>
      <w:bookmarkEnd w:id="63"/>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数据库安全策略</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限制超级管理员用户远程登录数据库，并且建议不要在普通业务应用中使用超级管理员用户。</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在数据库权限配置能力内，根据业务需要，配置其所需的最小权限。一般没有特殊权限需要的账户，仅分配连接和资源访问权限。</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更换数据库默认访问端口，同时通过防火墙配置拒绝来自默认端口的访问。</w:t>
      </w:r>
    </w:p>
    <w:p>
      <w:pPr>
        <w:widowControl/>
        <w:numPr>
          <w:ilvl w:val="0"/>
          <w:numId w:val="6"/>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数据库安全审计</w:t>
      </w:r>
    </w:p>
    <w:p>
      <w:pPr>
        <w:widowControl/>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使用数据库审计设备对访问数据库的用户行为进行源审计，及时发现危害数据库数据的违规行为、报警、提取违规证据。</w:t>
      </w:r>
    </w:p>
    <w:p>
      <w:pPr>
        <w:wordWrap/>
        <w:snapToGrid w:val="0"/>
        <w:spacing w:after="0" w:line="360" w:lineRule="auto"/>
        <w:ind w:left="0" w:leftChars="0" w:right="0" w:firstLine="422" w:firstLineChars="200"/>
        <w:textAlignment w:val="auto"/>
        <w:rPr>
          <w:rFonts w:hint="eastAsia" w:ascii="宋体" w:hAnsi="宋体" w:eastAsia="宋体" w:cs="Times New Roman"/>
          <w:b/>
          <w:bCs/>
          <w:color w:val="auto"/>
          <w:sz w:val="21"/>
          <w:szCs w:val="21"/>
          <w:highlight w:val="none"/>
        </w:rPr>
      </w:pPr>
    </w:p>
    <w:p>
      <w:pPr>
        <w:keepNext/>
        <w:keepLines/>
        <w:numPr>
          <w:numId w:val="0"/>
        </w:numPr>
        <w:tabs>
          <w:tab w:val="left" w:pos="8286"/>
        </w:tabs>
        <w:adjustRightInd w:val="0"/>
        <w:snapToGrid w:val="0"/>
        <w:spacing w:before="120" w:beforeLines="0" w:beforeAutospacing="0" w:after="120" w:afterLines="0" w:afterAutospacing="0" w:line="360" w:lineRule="auto"/>
        <w:ind w:leftChars="0" w:firstLine="0"/>
        <w:jc w:val="both"/>
        <w:outlineLvl w:val="0"/>
        <w:rPr>
          <w:rFonts w:hint="eastAsia" w:ascii="宋体" w:hAnsi="宋体" w:eastAsia="宋体" w:cs="宋体"/>
          <w:b/>
          <w:bCs/>
          <w:color w:val="auto"/>
          <w:kern w:val="0"/>
          <w:sz w:val="28"/>
          <w:szCs w:val="28"/>
          <w:highlight w:val="none"/>
          <w:lang w:val="zh-CN" w:eastAsia="zh-CN" w:bidi="ar-SA"/>
        </w:rPr>
      </w:pPr>
      <w:bookmarkStart w:id="64" w:name="_Toc45873810"/>
      <w:bookmarkStart w:id="65" w:name="_Toc17755"/>
      <w:r>
        <w:rPr>
          <w:rFonts w:hint="eastAsia" w:ascii="宋体" w:hAnsi="宋体" w:eastAsia="宋体" w:cs="宋体"/>
          <w:b/>
          <w:bCs/>
          <w:color w:val="auto"/>
          <w:kern w:val="0"/>
          <w:sz w:val="28"/>
          <w:szCs w:val="28"/>
          <w:highlight w:val="none"/>
          <w:lang w:val="en-US" w:eastAsia="zh-CN" w:bidi="ar-SA"/>
        </w:rPr>
        <w:t>五、商务条款</w:t>
      </w:r>
    </w:p>
    <w:p>
      <w:pPr>
        <w:keepNext/>
        <w:keepLines/>
        <w:adjustRightInd w:val="0"/>
        <w:snapToGrid w:val="0"/>
        <w:spacing w:before="0" w:after="0" w:line="360" w:lineRule="auto"/>
        <w:outlineLvl w:val="5"/>
        <w:rPr>
          <w:rFonts w:ascii="宋体" w:hAnsi="宋体" w:eastAsia="宋体" w:cs="宋体"/>
          <w:b/>
          <w:color w:val="auto"/>
          <w:sz w:val="28"/>
          <w:szCs w:val="28"/>
          <w:highlight w:val="none"/>
          <w:lang w:val="zh-CN" w:eastAsia="zh-CN" w:bidi="ar-SA"/>
        </w:rPr>
      </w:pPr>
      <w:r>
        <w:rPr>
          <w:rFonts w:hint="eastAsia" w:ascii="宋体" w:hAnsi="宋体" w:eastAsia="宋体" w:cs="宋体"/>
          <w:b/>
          <w:color w:val="auto"/>
          <w:sz w:val="28"/>
          <w:szCs w:val="28"/>
          <w:highlight w:val="none"/>
          <w:lang w:val="en-US" w:eastAsia="zh-CN" w:bidi="ar-SA"/>
        </w:rPr>
        <w:t xml:space="preserve">5.1 </w:t>
      </w:r>
      <w:r>
        <w:rPr>
          <w:rFonts w:hint="eastAsia" w:ascii="宋体" w:hAnsi="宋体" w:eastAsia="宋体" w:cs="宋体"/>
          <w:b/>
          <w:color w:val="auto"/>
          <w:sz w:val="28"/>
          <w:szCs w:val="28"/>
          <w:highlight w:val="none"/>
          <w:lang w:val="zh-CN" w:eastAsia="zh-CN" w:bidi="ar-SA"/>
        </w:rPr>
        <w:t>付款方式</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cs="宋体"/>
          <w:color w:val="auto"/>
          <w:sz w:val="21"/>
          <w:szCs w:val="21"/>
          <w:highlight w:val="none"/>
        </w:rPr>
        <w:t>合同签订后，采购人按24个月分期支付中标人合同总额的95%，剩余合同总额的5%作为质保金，在质保期结束后支付。</w:t>
      </w:r>
      <w:r>
        <w:rPr>
          <w:rFonts w:hint="eastAsia" w:ascii="宋体" w:hAnsi="宋体" w:eastAsia="宋体"/>
          <w:bCs/>
          <w:color w:val="auto"/>
          <w:sz w:val="21"/>
          <w:szCs w:val="21"/>
          <w:highlight w:val="none"/>
        </w:rPr>
        <w:t>中标人请款时必须用国家税务机关印制的发票给采购人，采购人才能付款，否则视为无效票据。</w:t>
      </w:r>
    </w:p>
    <w:p>
      <w:pPr>
        <w:spacing w:after="0" w:line="360" w:lineRule="auto"/>
        <w:ind w:firstLine="420" w:firstLineChars="200"/>
        <w:rPr>
          <w:rFonts w:ascii="宋体" w:hAnsi="宋体" w:eastAsia="宋体" w:cs="宋体"/>
          <w:color w:val="auto"/>
          <w:sz w:val="21"/>
          <w:szCs w:val="21"/>
          <w:highlight w:val="none"/>
        </w:rPr>
      </w:pPr>
    </w:p>
    <w:p>
      <w:pPr>
        <w:keepNext/>
        <w:keepLines/>
        <w:adjustRightInd w:val="0"/>
        <w:snapToGrid w:val="0"/>
        <w:spacing w:before="0" w:after="0" w:line="360" w:lineRule="auto"/>
        <w:outlineLvl w:val="5"/>
        <w:rPr>
          <w:rFonts w:ascii="宋体" w:hAnsi="宋体" w:eastAsia="宋体" w:cs="宋体"/>
          <w:b/>
          <w:color w:val="auto"/>
          <w:sz w:val="28"/>
          <w:szCs w:val="28"/>
          <w:highlight w:val="none"/>
          <w:lang w:val="en-US" w:eastAsia="zh-CN" w:bidi="ar-SA"/>
        </w:rPr>
      </w:pPr>
      <w:r>
        <w:rPr>
          <w:rFonts w:hint="eastAsia" w:ascii="宋体" w:hAnsi="宋体" w:eastAsia="宋体" w:cs="宋体"/>
          <w:b/>
          <w:color w:val="auto"/>
          <w:sz w:val="28"/>
          <w:szCs w:val="28"/>
          <w:highlight w:val="none"/>
          <w:lang w:val="en-US" w:eastAsia="zh-CN" w:bidi="ar-SA"/>
        </w:rPr>
        <w:t>5.2 售后服务</w:t>
      </w:r>
      <w:bookmarkEnd w:id="64"/>
      <w:bookmarkEnd w:id="65"/>
    </w:p>
    <w:p>
      <w:pPr>
        <w:keepNext/>
        <w:keepLines/>
        <w:spacing w:after="0" w:line="360" w:lineRule="auto"/>
        <w:rPr>
          <w:rFonts w:ascii="宋体" w:hAnsi="宋体" w:eastAsia="宋体" w:cs="宋体"/>
          <w:b/>
          <w:bCs/>
          <w:color w:val="auto"/>
          <w:sz w:val="21"/>
          <w:szCs w:val="18"/>
          <w:highlight w:val="none"/>
        </w:rPr>
      </w:pPr>
      <w:bookmarkStart w:id="66" w:name="_Toc6520674"/>
      <w:bookmarkStart w:id="67" w:name="_Toc45873811"/>
      <w:bookmarkStart w:id="68" w:name="_Toc9806134"/>
      <w:bookmarkStart w:id="69" w:name="_Toc3555468"/>
      <w:bookmarkStart w:id="70" w:name="_Toc3067462"/>
      <w:bookmarkStart w:id="71" w:name="_Toc3067560"/>
      <w:bookmarkStart w:id="72" w:name="_Toc40690114"/>
      <w:bookmarkStart w:id="73" w:name="_Toc20336"/>
      <w:bookmarkStart w:id="74" w:name="_Toc7085491"/>
      <w:r>
        <w:rPr>
          <w:rFonts w:hint="eastAsia" w:ascii="宋体" w:hAnsi="宋体" w:eastAsia="宋体" w:cs="宋体"/>
          <w:b/>
          <w:bCs/>
          <w:color w:val="auto"/>
          <w:sz w:val="21"/>
          <w:szCs w:val="18"/>
          <w:highlight w:val="none"/>
          <w:lang w:val="en-US" w:eastAsia="zh-CN"/>
        </w:rPr>
        <w:t>5</w:t>
      </w:r>
      <w:r>
        <w:rPr>
          <w:rFonts w:hint="eastAsia" w:ascii="宋体" w:hAnsi="宋体" w:eastAsia="宋体" w:cs="宋体"/>
          <w:b/>
          <w:bCs/>
          <w:color w:val="auto"/>
          <w:sz w:val="21"/>
          <w:szCs w:val="18"/>
          <w:highlight w:val="none"/>
        </w:rPr>
        <w:t>.2.1、运维概况</w:t>
      </w:r>
      <w:bookmarkEnd w:id="66"/>
      <w:bookmarkEnd w:id="67"/>
      <w:bookmarkEnd w:id="68"/>
      <w:bookmarkEnd w:id="69"/>
      <w:bookmarkEnd w:id="70"/>
      <w:bookmarkEnd w:id="71"/>
      <w:bookmarkEnd w:id="72"/>
      <w:bookmarkEnd w:id="73"/>
      <w:bookmarkEnd w:id="74"/>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为了保障整个系统能正常运行，项目建设的同时应考虑运维保障体系建设，针对项目建设规模建设相应的运维队伍。</w:t>
      </w:r>
    </w:p>
    <w:p>
      <w:pPr>
        <w:spacing w:after="0" w:line="360" w:lineRule="auto"/>
        <w:ind w:firstLine="420" w:firstLineChars="200"/>
        <w:rPr>
          <w:rFonts w:ascii="宋体" w:hAnsi="宋体" w:eastAsia="宋体" w:cs="宋体"/>
          <w:color w:val="auto"/>
          <w:sz w:val="21"/>
          <w:szCs w:val="21"/>
          <w:highlight w:val="none"/>
        </w:rPr>
      </w:pPr>
    </w:p>
    <w:p>
      <w:pPr>
        <w:keepNext/>
        <w:keepLines/>
        <w:spacing w:after="0" w:line="360" w:lineRule="auto"/>
        <w:rPr>
          <w:rFonts w:ascii="宋体" w:hAnsi="宋体" w:eastAsia="宋体" w:cs="宋体"/>
          <w:b/>
          <w:bCs/>
          <w:color w:val="auto"/>
          <w:sz w:val="21"/>
          <w:szCs w:val="18"/>
          <w:highlight w:val="none"/>
        </w:rPr>
      </w:pPr>
      <w:bookmarkStart w:id="75" w:name="_Toc40690118"/>
      <w:bookmarkStart w:id="76" w:name="_Toc3067565"/>
      <w:bookmarkStart w:id="77" w:name="_Toc3555473"/>
      <w:bookmarkStart w:id="78" w:name="_Toc15646"/>
      <w:bookmarkStart w:id="79" w:name="_Toc45873812"/>
      <w:bookmarkStart w:id="80" w:name="_Toc3067467"/>
      <w:bookmarkStart w:id="81" w:name="_Toc9806138"/>
      <w:bookmarkStart w:id="82" w:name="_Toc7085495"/>
      <w:bookmarkStart w:id="83" w:name="_Toc6520679"/>
      <w:r>
        <w:rPr>
          <w:rFonts w:hint="eastAsia" w:ascii="宋体" w:hAnsi="宋体" w:eastAsia="宋体" w:cs="宋体"/>
          <w:b/>
          <w:bCs/>
          <w:color w:val="auto"/>
          <w:sz w:val="21"/>
          <w:szCs w:val="18"/>
          <w:highlight w:val="none"/>
          <w:lang w:val="en-US" w:eastAsia="zh-CN"/>
        </w:rPr>
        <w:t>5</w:t>
      </w:r>
      <w:r>
        <w:rPr>
          <w:rFonts w:hint="eastAsia" w:ascii="宋体" w:hAnsi="宋体" w:eastAsia="宋体" w:cs="宋体"/>
          <w:b/>
          <w:bCs/>
          <w:color w:val="auto"/>
          <w:sz w:val="21"/>
          <w:szCs w:val="18"/>
          <w:highlight w:val="none"/>
        </w:rPr>
        <w:t>.2.2、</w:t>
      </w:r>
      <w:r>
        <w:rPr>
          <w:rFonts w:hint="eastAsia" w:ascii="宋体" w:hAnsi="宋体" w:eastAsia="宋体" w:cs="宋体"/>
          <w:b/>
          <w:bCs/>
          <w:color w:val="auto"/>
          <w:sz w:val="21"/>
          <w:szCs w:val="18"/>
          <w:highlight w:val="none"/>
          <w:lang w:val="en-US" w:eastAsia="zh-CN"/>
        </w:rPr>
        <w:t>工期、</w:t>
      </w:r>
      <w:r>
        <w:rPr>
          <w:rFonts w:hint="eastAsia" w:ascii="宋体" w:hAnsi="宋体" w:eastAsia="宋体" w:cs="宋体"/>
          <w:b/>
          <w:bCs/>
          <w:color w:val="auto"/>
          <w:sz w:val="21"/>
          <w:szCs w:val="18"/>
          <w:highlight w:val="none"/>
        </w:rPr>
        <w:t>质保</w:t>
      </w:r>
      <w:r>
        <w:rPr>
          <w:rFonts w:hint="eastAsia" w:ascii="宋体" w:hAnsi="宋体" w:eastAsia="宋体" w:cs="宋体"/>
          <w:b/>
          <w:bCs/>
          <w:color w:val="auto"/>
          <w:sz w:val="21"/>
          <w:szCs w:val="18"/>
          <w:highlight w:val="none"/>
          <w:lang w:val="en-US" w:eastAsia="zh-CN"/>
        </w:rPr>
        <w:t>及</w:t>
      </w:r>
      <w:r>
        <w:rPr>
          <w:rFonts w:hint="eastAsia" w:ascii="宋体" w:hAnsi="宋体" w:eastAsia="宋体" w:cs="宋体"/>
          <w:b/>
          <w:bCs/>
          <w:color w:val="auto"/>
          <w:sz w:val="21"/>
          <w:szCs w:val="18"/>
          <w:highlight w:val="none"/>
        </w:rPr>
        <w:t>运维期限</w:t>
      </w:r>
      <w:bookmarkEnd w:id="75"/>
      <w:bookmarkEnd w:id="76"/>
      <w:bookmarkEnd w:id="77"/>
      <w:bookmarkEnd w:id="78"/>
      <w:bookmarkEnd w:id="79"/>
      <w:bookmarkEnd w:id="80"/>
      <w:bookmarkEnd w:id="81"/>
      <w:bookmarkEnd w:id="82"/>
      <w:bookmarkEnd w:id="83"/>
    </w:p>
    <w:p>
      <w:pPr>
        <w:spacing w:after="0" w:line="360" w:lineRule="auto"/>
        <w:ind w:firstLine="420" w:firstLineChars="200"/>
        <w:rPr>
          <w:rFonts w:ascii="宋体" w:hAnsi="宋体" w:eastAsia="宋体" w:cs="宋体"/>
          <w:color w:val="auto"/>
          <w:sz w:val="21"/>
          <w:szCs w:val="21"/>
          <w:highlight w:val="none"/>
        </w:rPr>
      </w:pPr>
      <w:bookmarkStart w:id="84" w:name="_Toc9806141"/>
      <w:bookmarkStart w:id="85" w:name="_Toc7085498"/>
      <w:bookmarkStart w:id="86" w:name="_Toc40690121"/>
      <w:bookmarkStart w:id="87" w:name="_Toc3067470"/>
      <w:bookmarkStart w:id="88" w:name="_Toc6520682"/>
      <w:bookmarkStart w:id="89" w:name="_Toc20158"/>
      <w:bookmarkStart w:id="90" w:name="_Toc3555476"/>
      <w:bookmarkStart w:id="91" w:name="_Toc3067568"/>
      <w:bookmarkStart w:id="92" w:name="_Toc45873813"/>
      <w:r>
        <w:rPr>
          <w:rFonts w:hint="eastAsia" w:ascii="宋体" w:hAnsi="宋体" w:eastAsia="宋体" w:cs="宋体"/>
          <w:color w:val="auto"/>
          <w:sz w:val="21"/>
          <w:szCs w:val="21"/>
          <w:highlight w:val="none"/>
        </w:rPr>
        <w:t>本项目自合同签订之日起60天内完成项目交付，服务期为一年。</w:t>
      </w:r>
    </w:p>
    <w:p>
      <w:pPr>
        <w:spacing w:after="0" w:line="360" w:lineRule="auto"/>
        <w:ind w:firstLine="420" w:firstLineChars="200"/>
        <w:rPr>
          <w:rFonts w:ascii="宋体" w:hAnsi="宋体" w:eastAsia="宋体" w:cs="宋体"/>
          <w:color w:val="auto"/>
          <w:sz w:val="21"/>
          <w:szCs w:val="21"/>
          <w:highlight w:val="none"/>
        </w:rPr>
      </w:pPr>
    </w:p>
    <w:p>
      <w:pPr>
        <w:keepNext/>
        <w:keepLines/>
        <w:spacing w:after="0" w:line="360" w:lineRule="auto"/>
        <w:rPr>
          <w:rFonts w:ascii="宋体" w:hAnsi="宋体" w:eastAsia="宋体" w:cs="宋体"/>
          <w:b/>
          <w:bCs/>
          <w:color w:val="auto"/>
          <w:sz w:val="21"/>
          <w:szCs w:val="18"/>
          <w:highlight w:val="none"/>
        </w:rPr>
      </w:pPr>
      <w:r>
        <w:rPr>
          <w:rFonts w:hint="eastAsia" w:ascii="宋体" w:hAnsi="宋体" w:eastAsia="宋体" w:cs="宋体"/>
          <w:b/>
          <w:bCs/>
          <w:color w:val="auto"/>
          <w:sz w:val="21"/>
          <w:szCs w:val="18"/>
          <w:highlight w:val="none"/>
          <w:lang w:val="en-US" w:eastAsia="zh-CN"/>
        </w:rPr>
        <w:t>5</w:t>
      </w:r>
      <w:r>
        <w:rPr>
          <w:rFonts w:hint="eastAsia" w:ascii="宋体" w:hAnsi="宋体" w:eastAsia="宋体" w:cs="宋体"/>
          <w:b/>
          <w:bCs/>
          <w:color w:val="auto"/>
          <w:sz w:val="21"/>
          <w:szCs w:val="18"/>
          <w:highlight w:val="none"/>
        </w:rPr>
        <w:t>.2.3运维</w:t>
      </w:r>
      <w:bookmarkEnd w:id="84"/>
      <w:bookmarkEnd w:id="85"/>
      <w:bookmarkEnd w:id="86"/>
      <w:bookmarkEnd w:id="87"/>
      <w:bookmarkEnd w:id="88"/>
      <w:bookmarkEnd w:id="89"/>
      <w:bookmarkEnd w:id="90"/>
      <w:bookmarkEnd w:id="91"/>
      <w:r>
        <w:rPr>
          <w:rFonts w:hint="eastAsia" w:ascii="宋体" w:hAnsi="宋体" w:eastAsia="宋体" w:cs="宋体"/>
          <w:b/>
          <w:bCs/>
          <w:color w:val="auto"/>
          <w:sz w:val="21"/>
          <w:szCs w:val="18"/>
          <w:highlight w:val="none"/>
        </w:rPr>
        <w:t>要求</w:t>
      </w:r>
      <w:bookmarkEnd w:id="92"/>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服务时间应为365天*24小时服务响应。</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日常报修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常报修响应：项目应采取专人定点服务制度，日常报修接报后2小时内响应，维保服务期间如有设备、线路损坏，在有备件时更换备件解决。（如因水、火、雷电灾害等特殊原因造成不能及时解决的，则以书面形式说明情况及处理方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法定节假日期间（元旦、五一、国庆、春节等长假），应实行区域值班制度，以保证在节假日期间，能够报修接报有响应，突发事件能处理。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对现场技术人员无法独立解决的故障，将应指派技术支持人员进行应急支援，并调动必需的物资、设备，支援工作。</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紧急报修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紧急报修接报后，1小时时间内响应。如有设备损坏，应采用备件立即更换备件解决。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提供以下服务项目：设备维修、保养，提供维修零用配件、定期检查系统设备是否正常运行、是否存在安全隐患等等。</w:t>
      </w:r>
    </w:p>
    <w:p>
      <w:pPr>
        <w:adjustRightInd w:val="0"/>
        <w:snapToGrid w:val="0"/>
        <w:spacing w:before="161" w:after="200"/>
        <w:ind w:left="120"/>
        <w:rPr>
          <w:rFonts w:hint="eastAsia" w:ascii="宋体" w:hAnsi="宋体" w:eastAsia="宋体" w:cs="宋体"/>
          <w:color w:val="auto"/>
          <w:sz w:val="24"/>
          <w:szCs w:val="22"/>
          <w:highlight w:val="none"/>
          <w:lang w:val="zh-CN" w:eastAsia="zh-CN" w:bidi="zh-CN"/>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5"/>
      <w:bookmarkEnd w:id="6"/>
      <w:bookmarkEnd w:id="7"/>
      <w:bookmarkEnd w:id="8"/>
    </w:p>
    <w:p>
      <w:pPr>
        <w:pStyle w:val="3"/>
        <w:spacing w:before="0" w:after="0" w:line="240" w:lineRule="auto"/>
        <w:rPr>
          <w:color w:val="auto"/>
          <w:sz w:val="24"/>
          <w:szCs w:val="24"/>
          <w:highlight w:val="none"/>
        </w:rPr>
      </w:pPr>
      <w:r>
        <w:rPr>
          <w:rFonts w:hint="eastAsia"/>
          <w:color w:val="auto"/>
          <w:sz w:val="24"/>
          <w:szCs w:val="24"/>
          <w:highlight w:val="none"/>
        </w:rPr>
        <w:br w:type="page"/>
      </w:r>
      <w:bookmarkStart w:id="93" w:name="_Toc25260"/>
      <w:r>
        <w:rPr>
          <w:rFonts w:hint="eastAsia"/>
          <w:color w:val="auto"/>
          <w:sz w:val="28"/>
          <w:szCs w:val="28"/>
          <w:highlight w:val="none"/>
        </w:rPr>
        <w:t>第四部分 投标人须知</w:t>
      </w:r>
      <w:bookmarkEnd w:id="93"/>
    </w:p>
    <w:p>
      <w:pPr>
        <w:pStyle w:val="4"/>
        <w:numPr>
          <w:ilvl w:val="0"/>
          <w:numId w:val="7"/>
        </w:numPr>
        <w:spacing w:before="0" w:after="0" w:line="480" w:lineRule="auto"/>
        <w:jc w:val="center"/>
        <w:rPr>
          <w:rFonts w:ascii="宋体" w:hAnsi="宋体" w:eastAsia="宋体"/>
          <w:color w:val="auto"/>
          <w:highlight w:val="none"/>
        </w:rPr>
      </w:pPr>
      <w:bookmarkStart w:id="94" w:name="_Toc13325"/>
      <w:r>
        <w:rPr>
          <w:rFonts w:hint="eastAsia" w:ascii="宋体" w:hAnsi="宋体" w:eastAsia="宋体"/>
          <w:color w:val="auto"/>
          <w:highlight w:val="none"/>
        </w:rPr>
        <w:t>说明</w:t>
      </w:r>
      <w:bookmarkEnd w:id="94"/>
    </w:p>
    <w:p>
      <w:pPr>
        <w:pStyle w:val="5"/>
        <w:widowControl w:val="0"/>
        <w:tabs>
          <w:tab w:val="left" w:pos="8286"/>
        </w:tabs>
        <w:overflowPunct w:val="0"/>
        <w:spacing w:before="0" w:after="0" w:line="240" w:lineRule="auto"/>
        <w:rPr>
          <w:rFonts w:ascii="宋体" w:hAnsi="宋体"/>
          <w:color w:val="auto"/>
          <w:sz w:val="21"/>
          <w:szCs w:val="21"/>
          <w:highlight w:val="none"/>
        </w:rPr>
      </w:pPr>
      <w:bookmarkStart w:id="95" w:name="_Toc80603788"/>
      <w:bookmarkStart w:id="96" w:name="_Toc17228"/>
      <w:r>
        <w:rPr>
          <w:rFonts w:hint="eastAsia" w:ascii="宋体" w:hAnsi="宋体"/>
          <w:color w:val="auto"/>
          <w:sz w:val="21"/>
          <w:szCs w:val="21"/>
          <w:highlight w:val="none"/>
        </w:rPr>
        <w:t>1.适用范围</w:t>
      </w:r>
      <w:bookmarkEnd w:id="95"/>
      <w:bookmarkEnd w:id="96"/>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97" w:name="_Toc8986"/>
      <w:bookmarkStart w:id="98" w:name="_Toc80603789"/>
      <w:r>
        <w:rPr>
          <w:rFonts w:hint="eastAsia" w:ascii="宋体" w:hAnsi="宋体"/>
          <w:color w:val="auto"/>
          <w:sz w:val="21"/>
          <w:szCs w:val="21"/>
          <w:highlight w:val="none"/>
        </w:rPr>
        <w:t>2.</w:t>
      </w:r>
      <w:bookmarkStart w:id="99" w:name="_Toc298847174"/>
      <w:bookmarkStart w:id="100" w:name="_Toc303084246"/>
      <w:bookmarkStart w:id="101" w:name="_Toc382049092"/>
      <w:bookmarkStart w:id="102" w:name="_Toc1530"/>
      <w:r>
        <w:rPr>
          <w:rFonts w:hint="eastAsia" w:ascii="宋体" w:hAnsi="宋体"/>
          <w:color w:val="auto"/>
          <w:sz w:val="21"/>
          <w:szCs w:val="21"/>
          <w:highlight w:val="none"/>
        </w:rPr>
        <w:t>定义</w:t>
      </w:r>
      <w:bookmarkEnd w:id="97"/>
      <w:bookmarkEnd w:id="98"/>
      <w:bookmarkEnd w:id="99"/>
      <w:bookmarkEnd w:id="100"/>
      <w:bookmarkEnd w:id="101"/>
      <w:bookmarkEnd w:id="102"/>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采购代理机构：三方诚信招标有限公司东莞分公司。</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评标委员会：评标委员会是依据相关规定组建的专门负责本次招标其评标工作的临时性机构。</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03" w:name="_Toc21507"/>
      <w:bookmarkStart w:id="104" w:name="_Toc80603790"/>
      <w:r>
        <w:rPr>
          <w:rFonts w:hint="eastAsia" w:ascii="宋体" w:hAnsi="宋体"/>
          <w:color w:val="auto"/>
          <w:sz w:val="21"/>
          <w:szCs w:val="21"/>
          <w:highlight w:val="none"/>
        </w:rPr>
        <w:t>3.货物和服务</w:t>
      </w:r>
      <w:bookmarkEnd w:id="103"/>
      <w:bookmarkEnd w:id="104"/>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除货物和工程以外的其他采购对象</w:t>
      </w:r>
      <w:r>
        <w:rPr>
          <w:rFonts w:hint="eastAsia" w:ascii="宋体" w:hAnsi="宋体" w:eastAsia="宋体"/>
          <w:color w:val="auto"/>
          <w:sz w:val="21"/>
          <w:szCs w:val="21"/>
          <w:highlight w:val="none"/>
        </w:rPr>
        <w:t>。</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05" w:name="_Toc80603791"/>
      <w:bookmarkStart w:id="106" w:name="_Toc9596"/>
      <w:r>
        <w:rPr>
          <w:rFonts w:hint="eastAsia" w:ascii="宋体" w:hAnsi="宋体"/>
          <w:color w:val="auto"/>
          <w:sz w:val="21"/>
          <w:szCs w:val="21"/>
          <w:highlight w:val="none"/>
        </w:rPr>
        <w:t>4.投标费用</w:t>
      </w:r>
      <w:bookmarkEnd w:id="105"/>
      <w:bookmarkEnd w:id="106"/>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07" w:name="_Toc80603792"/>
      <w:bookmarkStart w:id="108" w:name="_Toc17633"/>
      <w:r>
        <w:rPr>
          <w:rFonts w:hint="eastAsia" w:ascii="宋体" w:hAnsi="宋体"/>
          <w:color w:val="auto"/>
          <w:sz w:val="21"/>
          <w:szCs w:val="21"/>
          <w:highlight w:val="none"/>
        </w:rPr>
        <w:t>5.知识产权</w:t>
      </w:r>
      <w:bookmarkEnd w:id="107"/>
      <w:bookmarkEnd w:id="108"/>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w:t>
      </w:r>
      <w:r>
        <w:rPr>
          <w:rFonts w:ascii="宋体" w:hAnsi="宋体" w:eastAsia="宋体"/>
          <w:color w:val="auto"/>
          <w:sz w:val="21"/>
          <w:szCs w:val="21"/>
          <w:highlight w:val="none"/>
        </w:rPr>
        <w:t>计算机办公设备时，</w:t>
      </w:r>
      <w:r>
        <w:rPr>
          <w:rFonts w:hint="eastAsia" w:ascii="宋体" w:hAnsi="宋体" w:eastAsia="宋体"/>
          <w:color w:val="auto"/>
          <w:sz w:val="21"/>
          <w:szCs w:val="21"/>
          <w:highlight w:val="none"/>
        </w:rPr>
        <w:t>投标人提供的产品必须是</w:t>
      </w:r>
      <w:r>
        <w:rPr>
          <w:rFonts w:ascii="宋体" w:hAnsi="宋体" w:eastAsia="宋体"/>
          <w:color w:val="auto"/>
          <w:sz w:val="21"/>
          <w:szCs w:val="21"/>
          <w:highlight w:val="none"/>
        </w:rPr>
        <w:t>预装正版操作系统软件的计算机产品</w:t>
      </w:r>
      <w:r>
        <w:rPr>
          <w:rFonts w:hint="eastAsia"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09" w:name="_Toc80603793"/>
      <w:bookmarkStart w:id="110" w:name="_Toc10738"/>
      <w:r>
        <w:rPr>
          <w:rFonts w:hint="eastAsia" w:ascii="宋体" w:hAnsi="宋体"/>
          <w:color w:val="auto"/>
          <w:sz w:val="21"/>
          <w:szCs w:val="21"/>
          <w:highlight w:val="none"/>
        </w:rPr>
        <w:t>6.关于联合体投标</w:t>
      </w:r>
      <w:bookmarkEnd w:id="109"/>
      <w:bookmarkEnd w:id="110"/>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以联合体形式参与项目的投标人在领购招标文件时，应提供所有联合体组成成员的营业执照复印件，并加盖各联合体组成成员的公章。</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投标人为联合体的，可以由联合体中的任意一方交纳保证金，其交纳的保证金对联合体各方均具有约束力。</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联合体中有同类资质的投标人按照联合体分工承担相同工作的，应当按照资质等级较低的投标人确定资质等级。</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8"/>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11" w:name="_Toc29934"/>
      <w:bookmarkStart w:id="112" w:name="_Toc80603794"/>
      <w:r>
        <w:rPr>
          <w:rFonts w:hint="eastAsia" w:ascii="宋体" w:hAnsi="宋体"/>
          <w:color w:val="auto"/>
          <w:sz w:val="21"/>
          <w:szCs w:val="21"/>
          <w:highlight w:val="none"/>
        </w:rPr>
        <w:t>7.关于分支机构投标</w:t>
      </w:r>
      <w:bookmarkEnd w:id="111"/>
      <w:bookmarkEnd w:id="112"/>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bookmarkStart w:id="113" w:name="EB389f116341dd4693875bc7987e7327f3"/>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13"/>
    </w:p>
    <w:p>
      <w:pPr>
        <w:pStyle w:val="4"/>
        <w:numPr>
          <w:ilvl w:val="0"/>
          <w:numId w:val="7"/>
        </w:numPr>
        <w:spacing w:before="0" w:after="0" w:line="480" w:lineRule="auto"/>
        <w:jc w:val="center"/>
        <w:rPr>
          <w:rFonts w:ascii="宋体" w:hAnsi="宋体" w:eastAsia="宋体"/>
          <w:color w:val="auto"/>
          <w:highlight w:val="none"/>
        </w:rPr>
      </w:pPr>
      <w:bookmarkStart w:id="114" w:name="_Toc6558"/>
      <w:r>
        <w:rPr>
          <w:rFonts w:hint="eastAsia" w:ascii="宋体" w:hAnsi="宋体" w:eastAsia="宋体"/>
          <w:color w:val="auto"/>
          <w:highlight w:val="none"/>
        </w:rPr>
        <w:t>招标文件</w:t>
      </w:r>
      <w:bookmarkEnd w:id="114"/>
    </w:p>
    <w:p>
      <w:pPr>
        <w:pStyle w:val="5"/>
        <w:widowControl w:val="0"/>
        <w:tabs>
          <w:tab w:val="left" w:pos="8286"/>
        </w:tabs>
        <w:overflowPunct w:val="0"/>
        <w:spacing w:before="0" w:after="0" w:line="240" w:lineRule="auto"/>
        <w:rPr>
          <w:rFonts w:ascii="宋体" w:hAnsi="宋体"/>
          <w:color w:val="auto"/>
          <w:sz w:val="21"/>
          <w:szCs w:val="21"/>
          <w:highlight w:val="none"/>
        </w:rPr>
      </w:pPr>
      <w:bookmarkStart w:id="115" w:name="_Toc80603796"/>
      <w:bookmarkStart w:id="116" w:name="_Toc32280"/>
      <w:r>
        <w:rPr>
          <w:rFonts w:hint="eastAsia" w:ascii="宋体" w:hAnsi="宋体"/>
          <w:color w:val="auto"/>
          <w:sz w:val="21"/>
          <w:szCs w:val="21"/>
          <w:highlight w:val="none"/>
        </w:rPr>
        <w:t>8.招标文件的组成</w:t>
      </w:r>
      <w:bookmarkEnd w:id="115"/>
      <w:bookmarkEnd w:id="116"/>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招标文件包括：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（5）拟签订的合同文本；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17" w:name="_Toc80603797"/>
      <w:bookmarkStart w:id="118" w:name="_Toc28349"/>
      <w:r>
        <w:rPr>
          <w:rFonts w:hint="eastAsia" w:ascii="宋体" w:hAnsi="宋体"/>
          <w:color w:val="auto"/>
          <w:sz w:val="21"/>
          <w:szCs w:val="21"/>
          <w:highlight w:val="none"/>
        </w:rPr>
        <w:t>9.招标文件的澄清或修改</w:t>
      </w:r>
      <w:bookmarkEnd w:id="117"/>
      <w:bookmarkEnd w:id="118"/>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8"/>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7"/>
        </w:numPr>
        <w:spacing w:before="0" w:after="0" w:line="480" w:lineRule="auto"/>
        <w:jc w:val="center"/>
        <w:rPr>
          <w:rFonts w:ascii="宋体" w:hAnsi="宋体" w:eastAsia="宋体"/>
          <w:color w:val="auto"/>
          <w:highlight w:val="none"/>
        </w:rPr>
      </w:pPr>
      <w:bookmarkStart w:id="119" w:name="_Toc16773"/>
      <w:r>
        <w:rPr>
          <w:rFonts w:hint="eastAsia" w:ascii="宋体" w:hAnsi="宋体" w:eastAsia="宋体"/>
          <w:color w:val="auto"/>
          <w:highlight w:val="none"/>
        </w:rPr>
        <w:t>投标文件的编制</w:t>
      </w:r>
      <w:bookmarkEnd w:id="119"/>
    </w:p>
    <w:p>
      <w:pPr>
        <w:pStyle w:val="5"/>
        <w:widowControl w:val="0"/>
        <w:tabs>
          <w:tab w:val="left" w:pos="8286"/>
        </w:tabs>
        <w:overflowPunct w:val="0"/>
        <w:spacing w:before="0" w:after="0" w:line="240" w:lineRule="auto"/>
        <w:rPr>
          <w:rFonts w:ascii="宋体" w:hAnsi="宋体"/>
          <w:color w:val="auto"/>
          <w:sz w:val="21"/>
          <w:szCs w:val="21"/>
          <w:highlight w:val="none"/>
        </w:rPr>
      </w:pPr>
      <w:bookmarkStart w:id="120" w:name="_Toc80603799"/>
      <w:bookmarkStart w:id="121" w:name="_Toc7734"/>
      <w:r>
        <w:rPr>
          <w:rFonts w:hint="eastAsia" w:ascii="宋体" w:hAnsi="宋体"/>
          <w:color w:val="auto"/>
          <w:sz w:val="21"/>
          <w:szCs w:val="21"/>
          <w:highlight w:val="none"/>
        </w:rPr>
        <w:t>10.投标文件的语言及度量衡单位</w:t>
      </w:r>
      <w:bookmarkEnd w:id="120"/>
      <w:bookmarkEnd w:id="121"/>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22" w:name="_Toc32627"/>
      <w:bookmarkStart w:id="123" w:name="_Toc28866"/>
      <w:bookmarkStart w:id="124" w:name="_Toc307934854"/>
      <w:bookmarkStart w:id="125" w:name="_Toc80603800"/>
      <w:bookmarkStart w:id="126" w:name="_Toc303084256"/>
      <w:bookmarkStart w:id="127" w:name="_Toc382049103"/>
      <w:r>
        <w:rPr>
          <w:rFonts w:hint="eastAsia" w:ascii="宋体" w:hAnsi="宋体"/>
          <w:color w:val="auto"/>
          <w:sz w:val="21"/>
          <w:szCs w:val="21"/>
          <w:highlight w:val="none"/>
        </w:rPr>
        <w:t>11.</w:t>
      </w:r>
      <w:r>
        <w:rPr>
          <w:rFonts w:ascii="宋体" w:hAnsi="宋体"/>
          <w:color w:val="auto"/>
          <w:sz w:val="21"/>
          <w:szCs w:val="21"/>
          <w:highlight w:val="none"/>
        </w:rPr>
        <w:t>投标文件的组成</w:t>
      </w:r>
      <w:bookmarkEnd w:id="122"/>
      <w:bookmarkEnd w:id="123"/>
      <w:bookmarkEnd w:id="124"/>
      <w:bookmarkEnd w:id="125"/>
      <w:bookmarkEnd w:id="126"/>
      <w:bookmarkEnd w:id="127"/>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8"/>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28" w:name="_Toc21118"/>
      <w:bookmarkStart w:id="129" w:name="_Toc80603801"/>
      <w:r>
        <w:rPr>
          <w:rFonts w:hint="eastAsia" w:ascii="宋体" w:hAnsi="宋体"/>
          <w:color w:val="auto"/>
          <w:sz w:val="21"/>
          <w:szCs w:val="21"/>
          <w:highlight w:val="none"/>
        </w:rPr>
        <w:t>12.投标文件编制</w:t>
      </w:r>
      <w:bookmarkEnd w:id="128"/>
      <w:bookmarkEnd w:id="129"/>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bookmarkStart w:id="130" w:name="_Toc303084258"/>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和提供资料，投标人必须对投标文件所提供的全部材料的真实性承担法律责任，并无条件接受采购人或采购代理机构对其中任何资料进行核实的要求。</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投标人须客观撰写投标人简介（格式自理，并提供相关证明）以及所投的产品或服务说明。</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投标文件若出现以下内容，经评标委员会认定有可能间接影响评审秩序，作废标处理。</w:t>
      </w:r>
    </w:p>
    <w:p>
      <w:pPr>
        <w:pStyle w:val="35"/>
        <w:widowControl w:val="0"/>
        <w:numPr>
          <w:ilvl w:val="0"/>
          <w:numId w:val="9"/>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5"/>
        <w:widowControl w:val="0"/>
        <w:numPr>
          <w:ilvl w:val="0"/>
          <w:numId w:val="9"/>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bookmarkEnd w:id="130"/>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31" w:name="_Toc80603802"/>
      <w:bookmarkStart w:id="132" w:name="_Toc7944"/>
      <w:r>
        <w:rPr>
          <w:rFonts w:hint="eastAsia" w:ascii="宋体" w:hAnsi="宋体"/>
          <w:color w:val="auto"/>
          <w:sz w:val="21"/>
          <w:szCs w:val="21"/>
          <w:highlight w:val="none"/>
        </w:rPr>
        <w:t>13.投标报价说明</w:t>
      </w:r>
      <w:bookmarkEnd w:id="131"/>
      <w:bookmarkEnd w:id="132"/>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33" w:name="_Toc80603803"/>
      <w:bookmarkStart w:id="134" w:name="_Toc10906"/>
      <w:r>
        <w:rPr>
          <w:rFonts w:hint="eastAsia" w:ascii="宋体" w:hAnsi="宋体"/>
          <w:color w:val="auto"/>
          <w:sz w:val="21"/>
          <w:szCs w:val="21"/>
          <w:highlight w:val="none"/>
        </w:rPr>
        <w:t>14.投标人所提供的服务或货物的证明文件</w:t>
      </w:r>
      <w:bookmarkEnd w:id="133"/>
      <w:bookmarkEnd w:id="134"/>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bookmarkStart w:id="135" w:name="_Hlt107925668"/>
      <w:bookmarkEnd w:id="135"/>
      <w:bookmarkStart w:id="136" w:name="_Hlt107925638"/>
      <w:bookmarkEnd w:id="136"/>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5"/>
        <w:widowControl w:val="0"/>
        <w:adjustRightInd/>
        <w:snapToGrid/>
        <w:spacing w:after="0" w:line="360" w:lineRule="exact"/>
        <w:ind w:left="425" w:firstLine="0" w:firstLineChars="0"/>
        <w:jc w:val="both"/>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37" w:name="_Toc80603804"/>
      <w:bookmarkStart w:id="138" w:name="_Toc11717"/>
      <w:r>
        <w:rPr>
          <w:rFonts w:hint="eastAsia" w:ascii="宋体" w:hAnsi="宋体"/>
          <w:color w:val="auto"/>
          <w:sz w:val="21"/>
          <w:szCs w:val="21"/>
          <w:highlight w:val="none"/>
        </w:rPr>
        <w:t>15.★投标有效期</w:t>
      </w:r>
      <w:bookmarkEnd w:id="137"/>
      <w:bookmarkEnd w:id="138"/>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39" w:name="_Toc1615"/>
      <w:bookmarkStart w:id="140" w:name="_Toc80603805"/>
      <w:r>
        <w:rPr>
          <w:rFonts w:hint="eastAsia" w:ascii="宋体" w:hAnsi="宋体"/>
          <w:color w:val="auto"/>
          <w:sz w:val="21"/>
          <w:szCs w:val="21"/>
          <w:highlight w:val="none"/>
        </w:rPr>
        <w:t>16.★投标保证金</w:t>
      </w:r>
      <w:bookmarkEnd w:id="139"/>
      <w:bookmarkEnd w:id="140"/>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bookmarkStart w:id="141" w:name="_Ref179619405"/>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141"/>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投标人交纳投标保证金向采购人或者采购代理机构提供的保证担保。投标人在投标有效期内撤回投标文件或中标后不签订采购合同的，由担保机构按照担保函的约定履行支付投标保证金的责任。</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未中标的投标人的保证金应当在中标通知书发出后5个工作日内退还，中标投标人的保证金应当在采购合同签订后5个工作日内退还。</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（4）投标人与采购人、其他投标人或者采购代理机构恶意串通的；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r>
        <w:rPr>
          <w:rFonts w:ascii="宋体" w:hAnsi="宋体" w:eastAsia="宋体"/>
          <w:color w:val="auto"/>
          <w:sz w:val="21"/>
          <w:szCs w:val="21"/>
          <w:highlight w:val="none"/>
        </w:rPr>
        <w:t xml:space="preserve"> </w:t>
      </w:r>
    </w:p>
    <w:p>
      <w:pPr>
        <w:rPr>
          <w:color w:val="auto"/>
          <w:highlight w:val="none"/>
        </w:rPr>
      </w:pPr>
    </w:p>
    <w:p>
      <w:pPr>
        <w:pStyle w:val="4"/>
        <w:numPr>
          <w:ilvl w:val="0"/>
          <w:numId w:val="7"/>
        </w:numPr>
        <w:spacing w:before="0" w:after="0" w:line="480" w:lineRule="auto"/>
        <w:jc w:val="center"/>
        <w:rPr>
          <w:rFonts w:ascii="宋体" w:hAnsi="宋体" w:eastAsia="宋体"/>
          <w:color w:val="auto"/>
          <w:highlight w:val="none"/>
        </w:rPr>
      </w:pPr>
      <w:bookmarkStart w:id="142" w:name="_Toc7038"/>
      <w:r>
        <w:rPr>
          <w:rFonts w:hint="eastAsia" w:ascii="宋体" w:hAnsi="宋体" w:eastAsia="宋体"/>
          <w:color w:val="auto"/>
          <w:highlight w:val="none"/>
        </w:rPr>
        <w:t>投标文件的递交</w:t>
      </w:r>
      <w:bookmarkEnd w:id="142"/>
    </w:p>
    <w:p>
      <w:pPr>
        <w:pStyle w:val="5"/>
        <w:widowControl w:val="0"/>
        <w:tabs>
          <w:tab w:val="left" w:pos="8286"/>
        </w:tabs>
        <w:overflowPunct w:val="0"/>
        <w:spacing w:before="0" w:after="0" w:line="240" w:lineRule="auto"/>
        <w:rPr>
          <w:rFonts w:ascii="宋体" w:hAnsi="宋体"/>
          <w:color w:val="auto"/>
          <w:sz w:val="21"/>
          <w:szCs w:val="21"/>
          <w:highlight w:val="none"/>
        </w:rPr>
      </w:pPr>
      <w:bookmarkStart w:id="143" w:name="_Toc28865"/>
      <w:bookmarkStart w:id="144" w:name="_Toc382049111"/>
      <w:bookmarkStart w:id="145" w:name="_Toc24997"/>
      <w:bookmarkStart w:id="146" w:name="_Toc303084264"/>
      <w:bookmarkStart w:id="147" w:name="_Toc80603807"/>
      <w:r>
        <w:rPr>
          <w:rFonts w:hint="eastAsia" w:ascii="宋体" w:hAnsi="宋体"/>
          <w:color w:val="auto"/>
          <w:sz w:val="21"/>
          <w:szCs w:val="21"/>
          <w:highlight w:val="none"/>
        </w:rPr>
        <w:t>17.</w:t>
      </w:r>
      <w:r>
        <w:rPr>
          <w:rFonts w:ascii="宋体" w:hAnsi="宋体"/>
          <w:color w:val="auto"/>
          <w:sz w:val="21"/>
          <w:szCs w:val="21"/>
          <w:highlight w:val="none"/>
        </w:rPr>
        <w:t>投标文件的</w:t>
      </w:r>
      <w:r>
        <w:rPr>
          <w:rFonts w:hint="eastAsia" w:ascii="宋体" w:hAnsi="宋体"/>
          <w:color w:val="auto"/>
          <w:sz w:val="21"/>
          <w:szCs w:val="21"/>
          <w:highlight w:val="none"/>
        </w:rPr>
        <w:t>装订，签署，</w:t>
      </w:r>
      <w:r>
        <w:rPr>
          <w:rFonts w:ascii="宋体" w:hAnsi="宋体"/>
          <w:color w:val="auto"/>
          <w:sz w:val="21"/>
          <w:szCs w:val="21"/>
          <w:highlight w:val="none"/>
        </w:rPr>
        <w:t>密封和标记</w:t>
      </w:r>
      <w:bookmarkEnd w:id="143"/>
      <w:bookmarkEnd w:id="144"/>
      <w:bookmarkEnd w:id="145"/>
      <w:bookmarkEnd w:id="146"/>
      <w:bookmarkEnd w:id="147"/>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投标人应当对投标文件进行装订，对未经装订的投标文件可能发生的文件缺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r>
        <w:rPr>
          <w:rFonts w:hint="eastAsia" w:ascii="宋体" w:hAnsi="宋体" w:eastAsia="宋体"/>
          <w:color w:val="auto"/>
          <w:sz w:val="21"/>
          <w:szCs w:val="21"/>
          <w:highlight w:val="none"/>
        </w:rPr>
        <w:t>；投标文件未装订成册，投标文件无效</w:t>
      </w:r>
      <w:r>
        <w:rPr>
          <w:rFonts w:ascii="宋体" w:hAnsi="宋体" w:eastAsia="宋体"/>
          <w:color w:val="auto"/>
          <w:sz w:val="21"/>
          <w:szCs w:val="21"/>
          <w:highlight w:val="none"/>
        </w:rPr>
        <w:t>。</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投标人应将投标文件进行非透明的封装，以防止投标文件内容的泄露。采购代理机构将拒绝接收采用透明包装进行密封的投标文件。</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密封破损导致投标文件内容直接或间接泄露的投标文件，采购代理机构将拒绝接收。</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8"/>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未单独提交开标文件的投标人投标文件不进行唱标，投标文件作无效处理。</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10"/>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收件人：三方诚信招标有限公司东莞分公司</w:t>
      </w:r>
    </w:p>
    <w:p>
      <w:pPr>
        <w:widowControl w:val="0"/>
        <w:numPr>
          <w:ilvl w:val="0"/>
          <w:numId w:val="10"/>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10"/>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10"/>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项目采购项目编号：</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未进行项目报名的单位（以采购代理机构报名表或报名发票为准）递交的投标文件，采购代理机构将拒绝接收。</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密封信封上的项目编号错误或项目名称出现严重歧义的（包括采购内容不符），采购代理机构将拒绝接收。</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传真、电传的投标文件将被拒绝。</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48" w:name="_Toc80603808"/>
      <w:bookmarkStart w:id="149" w:name="_Toc7925"/>
      <w:r>
        <w:rPr>
          <w:rFonts w:hint="eastAsia" w:ascii="宋体" w:hAnsi="宋体"/>
          <w:color w:val="auto"/>
          <w:sz w:val="21"/>
          <w:szCs w:val="21"/>
          <w:highlight w:val="none"/>
        </w:rPr>
        <w:t>18.迟交的投标文件</w:t>
      </w:r>
      <w:bookmarkEnd w:id="148"/>
      <w:bookmarkEnd w:id="149"/>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50" w:name="_Toc80603809"/>
      <w:bookmarkStart w:id="151" w:name="_Toc1293"/>
      <w:r>
        <w:rPr>
          <w:rFonts w:hint="eastAsia" w:ascii="宋体" w:hAnsi="宋体"/>
          <w:color w:val="auto"/>
          <w:sz w:val="21"/>
          <w:szCs w:val="21"/>
          <w:highlight w:val="none"/>
        </w:rPr>
        <w:t>19.投标样品（如需提交）</w:t>
      </w:r>
      <w:bookmarkEnd w:id="150"/>
      <w:bookmarkEnd w:id="151"/>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52" w:name="_Toc80603810"/>
      <w:bookmarkStart w:id="153" w:name="_Toc382049112"/>
      <w:bookmarkStart w:id="154" w:name="_Toc303084265"/>
      <w:bookmarkStart w:id="155" w:name="_Toc9777"/>
      <w:bookmarkStart w:id="156" w:name="_Toc20635"/>
      <w:r>
        <w:rPr>
          <w:rFonts w:hint="eastAsia" w:ascii="宋体" w:hAnsi="宋体"/>
          <w:color w:val="auto"/>
          <w:sz w:val="21"/>
          <w:szCs w:val="21"/>
          <w:highlight w:val="none"/>
        </w:rPr>
        <w:t>20.投标截止期</w:t>
      </w:r>
      <w:bookmarkEnd w:id="152"/>
      <w:bookmarkEnd w:id="153"/>
      <w:bookmarkEnd w:id="154"/>
      <w:bookmarkEnd w:id="155"/>
      <w:bookmarkEnd w:id="156"/>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57" w:name="_Toc80603811"/>
      <w:bookmarkStart w:id="158" w:name="_Toc17566"/>
      <w:r>
        <w:rPr>
          <w:rFonts w:hint="eastAsia" w:ascii="宋体" w:hAnsi="宋体"/>
          <w:color w:val="auto"/>
          <w:sz w:val="21"/>
          <w:szCs w:val="21"/>
          <w:highlight w:val="none"/>
        </w:rPr>
        <w:t>21.投标文件的补充、修改与撤回</w:t>
      </w:r>
      <w:bookmarkEnd w:id="157"/>
      <w:bookmarkEnd w:id="158"/>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9"/>
        <w:rPr>
          <w:color w:val="auto"/>
          <w:highlight w:val="none"/>
        </w:rPr>
      </w:pPr>
    </w:p>
    <w:p>
      <w:pPr>
        <w:pStyle w:val="4"/>
        <w:numPr>
          <w:ilvl w:val="0"/>
          <w:numId w:val="7"/>
        </w:numPr>
        <w:spacing w:before="0" w:after="0" w:line="480" w:lineRule="auto"/>
        <w:jc w:val="center"/>
        <w:rPr>
          <w:rFonts w:ascii="宋体" w:hAnsi="宋体" w:eastAsia="宋体"/>
          <w:color w:val="auto"/>
          <w:highlight w:val="none"/>
        </w:rPr>
      </w:pPr>
      <w:bookmarkStart w:id="159" w:name="_Toc13311"/>
      <w:r>
        <w:rPr>
          <w:rFonts w:hint="eastAsia" w:ascii="宋体" w:hAnsi="宋体" w:eastAsia="宋体"/>
          <w:color w:val="auto"/>
          <w:highlight w:val="none"/>
        </w:rPr>
        <w:t>开标与评标</w:t>
      </w:r>
      <w:bookmarkEnd w:id="159"/>
    </w:p>
    <w:p>
      <w:pPr>
        <w:pStyle w:val="5"/>
        <w:widowControl w:val="0"/>
        <w:tabs>
          <w:tab w:val="left" w:pos="8286"/>
        </w:tabs>
        <w:overflowPunct w:val="0"/>
        <w:spacing w:before="0" w:after="0" w:line="240" w:lineRule="auto"/>
        <w:rPr>
          <w:rFonts w:ascii="宋体" w:hAnsi="宋体"/>
          <w:color w:val="auto"/>
          <w:sz w:val="21"/>
          <w:szCs w:val="21"/>
          <w:highlight w:val="none"/>
        </w:rPr>
      </w:pPr>
      <w:bookmarkStart w:id="160" w:name="_Toc80603813"/>
      <w:bookmarkStart w:id="161" w:name="_Toc21842"/>
      <w:r>
        <w:rPr>
          <w:rFonts w:hint="eastAsia" w:ascii="宋体" w:hAnsi="宋体"/>
          <w:color w:val="auto"/>
          <w:sz w:val="21"/>
          <w:szCs w:val="21"/>
          <w:highlight w:val="none"/>
        </w:rPr>
        <w:t>22.开标</w:t>
      </w:r>
      <w:bookmarkEnd w:id="160"/>
      <w:bookmarkEnd w:id="161"/>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62" w:name="_Toc28135"/>
      <w:bookmarkStart w:id="163" w:name="_Toc80603814"/>
      <w:r>
        <w:rPr>
          <w:rFonts w:hint="eastAsia" w:ascii="宋体" w:hAnsi="宋体"/>
          <w:color w:val="auto"/>
          <w:sz w:val="21"/>
          <w:szCs w:val="21"/>
          <w:highlight w:val="none"/>
        </w:rPr>
        <w:t>23.评标委员会及评标方法</w:t>
      </w:r>
      <w:bookmarkEnd w:id="162"/>
      <w:bookmarkEnd w:id="163"/>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评标委员会和采购人在评审过程中有权核对投标文件中相关材料的原件，投标人在接到通知后应在评标委员会规定的时间内提交原件核查。</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64" w:name="_Toc80603815"/>
      <w:bookmarkStart w:id="165" w:name="_Toc3500"/>
      <w:r>
        <w:rPr>
          <w:rFonts w:hint="eastAsia" w:ascii="宋体" w:hAnsi="宋体"/>
          <w:color w:val="auto"/>
          <w:sz w:val="21"/>
          <w:szCs w:val="21"/>
          <w:highlight w:val="none"/>
        </w:rPr>
        <w:t>24.评审原则及评标过程的保密</w:t>
      </w:r>
      <w:bookmarkEnd w:id="164"/>
      <w:bookmarkEnd w:id="165"/>
    </w:p>
    <w:p>
      <w:pPr>
        <w:pStyle w:val="35"/>
        <w:widowControl w:val="0"/>
        <w:numPr>
          <w:ilvl w:val="0"/>
          <w:numId w:val="8"/>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评审的基本原则：评标委员会将依据招标文件的规定，遵循“公开、公平、公正、择优、信用”的原则进行评审工作。</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66" w:name="_Toc80603816"/>
      <w:bookmarkStart w:id="167" w:name="_Toc5179"/>
      <w:r>
        <w:rPr>
          <w:rFonts w:hint="eastAsia" w:ascii="宋体" w:hAnsi="宋体"/>
          <w:color w:val="auto"/>
          <w:sz w:val="21"/>
          <w:szCs w:val="21"/>
          <w:highlight w:val="none"/>
        </w:rPr>
        <w:t>25.投标文件的初审</w:t>
      </w:r>
      <w:bookmarkEnd w:id="166"/>
      <w:bookmarkEnd w:id="167"/>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招标文件的实质性要求。</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未响应招标文件的实质要求的投标文件作废标处理。投标人不得通过修正或撤消不合要求的偏离或保留从而使其投标成为实质上响应的投标。评标委员会评审中，</w:t>
      </w:r>
      <w:r>
        <w:rPr>
          <w:rFonts w:hint="eastAsia" w:ascii="宋体" w:hAnsi="宋体" w:eastAsia="宋体"/>
          <w:b/>
          <w:color w:val="auto"/>
          <w:sz w:val="21"/>
          <w:szCs w:val="21"/>
          <w:highlight w:val="none"/>
        </w:rPr>
        <w:t>发现下列情况之一的，其投标将作废标处理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bookmarkStart w:id="168" w:name="_Ref179621189"/>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（二）符合性检查</w:t>
      </w:r>
      <w:bookmarkEnd w:id="168"/>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包括但不限于投标文件内容与采购内容不符，投标文件项目采购项目编号错误，投标文件项目名称错误导致无法分表所投项目为本项目的，投标文件散落，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①投标报价超过本招标文件明确的项目预算或文件明确的最高限价；②投标报价格式与文件要求不符；③开标一览表格式或内容与招标文件要求不符。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69" w:name="_Toc80603817"/>
      <w:bookmarkStart w:id="170" w:name="_Toc10147"/>
      <w:r>
        <w:rPr>
          <w:rFonts w:hint="eastAsia" w:ascii="宋体" w:hAnsi="宋体"/>
          <w:color w:val="auto"/>
          <w:sz w:val="21"/>
          <w:szCs w:val="21"/>
          <w:highlight w:val="none"/>
        </w:rPr>
        <w:t>26.商务、技术、价格评审（具体评审项目详见投标资料表）</w:t>
      </w:r>
      <w:bookmarkEnd w:id="169"/>
      <w:bookmarkEnd w:id="170"/>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w:t>
      </w:r>
      <w:r>
        <w:rPr>
          <w:rFonts w:hint="eastAsia" w:ascii="宋体" w:hAnsi="宋体" w:eastAsia="宋体"/>
          <w:color w:val="auto"/>
          <w:sz w:val="21"/>
          <w:szCs w:val="21"/>
          <w:highlight w:val="none"/>
        </w:rPr>
        <w:t>资格性审查和</w:t>
      </w:r>
      <w:r>
        <w:rPr>
          <w:rFonts w:ascii="宋体" w:hAnsi="宋体" w:eastAsia="宋体"/>
          <w:color w:val="auto"/>
          <w:sz w:val="21"/>
          <w:szCs w:val="21"/>
          <w:highlight w:val="none"/>
        </w:rPr>
        <w:t>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71" w:name="_Toc11805"/>
      <w:bookmarkStart w:id="172" w:name="_Toc80603818"/>
      <w:r>
        <w:rPr>
          <w:rFonts w:hint="eastAsia" w:ascii="宋体" w:hAnsi="宋体"/>
          <w:color w:val="auto"/>
          <w:sz w:val="21"/>
          <w:szCs w:val="21"/>
          <w:highlight w:val="none"/>
        </w:rPr>
        <w:t>27.优惠政策（本项目不适用）</w:t>
      </w:r>
      <w:bookmarkEnd w:id="171"/>
      <w:bookmarkEnd w:id="172"/>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在货物采购项目中，投标人提供的货物既有中小企业制造货物，也有大型企业制造货物的，不享受“财政部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8"/>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投标人享受本办法（财库〔2020〕46号）规定的中小企业扶持政策的，采购代理机构将随中标、成交结果公开中标、成交投标人的《中小企业声明函》。各投标人不得提供虚假声明，提供虚假声明取消中标、成交资格，并追究其法律责任。</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11"/>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11"/>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11"/>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73" w:name="_Toc316375620"/>
      <w:bookmarkStart w:id="174" w:name="_Toc382049120"/>
      <w:bookmarkStart w:id="175" w:name="_Toc20328"/>
      <w:bookmarkStart w:id="176" w:name="_Toc80603819"/>
      <w:bookmarkStart w:id="177" w:name="_Toc30411"/>
      <w:r>
        <w:rPr>
          <w:rFonts w:hint="eastAsia" w:ascii="宋体" w:hAnsi="宋体"/>
          <w:color w:val="auto"/>
          <w:sz w:val="21"/>
          <w:szCs w:val="21"/>
          <w:highlight w:val="none"/>
        </w:rPr>
        <w:t>28.纪律和</w:t>
      </w:r>
      <w:r>
        <w:rPr>
          <w:rFonts w:ascii="宋体" w:hAnsi="宋体"/>
          <w:color w:val="auto"/>
          <w:sz w:val="21"/>
          <w:szCs w:val="21"/>
          <w:highlight w:val="none"/>
        </w:rPr>
        <w:t>保密</w:t>
      </w:r>
      <w:bookmarkEnd w:id="173"/>
      <w:r>
        <w:rPr>
          <w:rFonts w:hint="eastAsia" w:ascii="宋体" w:hAnsi="宋体"/>
          <w:color w:val="auto"/>
          <w:sz w:val="21"/>
          <w:szCs w:val="21"/>
          <w:highlight w:val="none"/>
        </w:rPr>
        <w:t>事项</w:t>
      </w:r>
      <w:bookmarkEnd w:id="174"/>
      <w:bookmarkEnd w:id="175"/>
      <w:bookmarkEnd w:id="176"/>
      <w:bookmarkEnd w:id="177"/>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7"/>
        </w:numPr>
        <w:spacing w:before="0" w:after="0" w:line="480" w:lineRule="auto"/>
        <w:jc w:val="center"/>
        <w:rPr>
          <w:rFonts w:ascii="宋体" w:hAnsi="宋体" w:eastAsia="宋体"/>
          <w:color w:val="auto"/>
          <w:highlight w:val="none"/>
        </w:rPr>
      </w:pPr>
      <w:bookmarkStart w:id="178" w:name="_Toc28130"/>
      <w:r>
        <w:rPr>
          <w:rFonts w:hint="eastAsia" w:ascii="宋体" w:hAnsi="宋体" w:eastAsia="宋体"/>
          <w:color w:val="auto"/>
          <w:highlight w:val="none"/>
        </w:rPr>
        <w:t>授予合同</w:t>
      </w:r>
      <w:bookmarkEnd w:id="178"/>
    </w:p>
    <w:p>
      <w:pPr>
        <w:pStyle w:val="5"/>
        <w:widowControl w:val="0"/>
        <w:tabs>
          <w:tab w:val="left" w:pos="8286"/>
        </w:tabs>
        <w:overflowPunct w:val="0"/>
        <w:spacing w:before="0" w:after="0" w:line="240" w:lineRule="auto"/>
        <w:rPr>
          <w:rFonts w:ascii="宋体" w:hAnsi="宋体"/>
          <w:color w:val="auto"/>
          <w:sz w:val="21"/>
          <w:szCs w:val="21"/>
          <w:highlight w:val="none"/>
        </w:rPr>
      </w:pPr>
      <w:bookmarkStart w:id="179" w:name="_Toc508284011"/>
      <w:bookmarkStart w:id="180" w:name="_Toc80603821"/>
      <w:bookmarkStart w:id="181" w:name="_Toc9451"/>
      <w:r>
        <w:rPr>
          <w:rFonts w:hint="eastAsia" w:ascii="宋体" w:hAnsi="宋体"/>
          <w:color w:val="auto"/>
          <w:sz w:val="21"/>
          <w:szCs w:val="21"/>
          <w:highlight w:val="none"/>
        </w:rPr>
        <w:t>29.</w:t>
      </w:r>
      <w:r>
        <w:rPr>
          <w:rFonts w:ascii="宋体" w:hAnsi="宋体"/>
          <w:color w:val="auto"/>
          <w:sz w:val="21"/>
          <w:szCs w:val="21"/>
          <w:highlight w:val="none"/>
        </w:rPr>
        <w:t>合同授予标准</w:t>
      </w:r>
      <w:bookmarkEnd w:id="179"/>
      <w:bookmarkEnd w:id="180"/>
      <w:bookmarkEnd w:id="181"/>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82" w:name="_Toc15313"/>
      <w:bookmarkStart w:id="183" w:name="_Toc508284013"/>
      <w:bookmarkStart w:id="184" w:name="_Toc80603822"/>
      <w:r>
        <w:rPr>
          <w:rFonts w:hint="eastAsia" w:ascii="宋体" w:hAnsi="宋体"/>
          <w:color w:val="auto"/>
          <w:sz w:val="21"/>
          <w:szCs w:val="21"/>
          <w:highlight w:val="none"/>
        </w:rPr>
        <w:t>30.发布中标结果</w:t>
      </w:r>
      <w:bookmarkEnd w:id="182"/>
      <w:bookmarkEnd w:id="183"/>
      <w:bookmarkEnd w:id="184"/>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85" w:name="_Toc80603823"/>
      <w:bookmarkStart w:id="186" w:name="_Toc20554"/>
      <w:r>
        <w:rPr>
          <w:rFonts w:hint="eastAsia" w:ascii="宋体" w:hAnsi="宋体"/>
          <w:color w:val="auto"/>
          <w:sz w:val="21"/>
          <w:szCs w:val="21"/>
          <w:highlight w:val="none"/>
        </w:rPr>
        <w:t>31.合同的签订与履行</w:t>
      </w:r>
      <w:bookmarkEnd w:id="185"/>
      <w:bookmarkEnd w:id="186"/>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采购合同的履行、违约责任和解决争议的方法等适用《中华人民共和国民法典》。</w:t>
      </w:r>
    </w:p>
    <w:p>
      <w:pPr>
        <w:widowControl w:val="0"/>
        <w:numPr>
          <w:ilvl w:val="1"/>
          <w:numId w:val="8"/>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合同签订之日起2个工作日内，中标人应将所签订的合同副本（加盖公章）交至三方诚信招标有限公司东莞分公司归档。</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87" w:name="_Toc80603824"/>
      <w:bookmarkStart w:id="188" w:name="_Toc382049124"/>
      <w:bookmarkStart w:id="189" w:name="_Toc29009"/>
      <w:bookmarkStart w:id="190" w:name="_Toc303084277"/>
      <w:bookmarkStart w:id="191" w:name="_Toc8142"/>
      <w:r>
        <w:rPr>
          <w:rFonts w:hint="eastAsia" w:ascii="宋体" w:hAnsi="宋体"/>
          <w:color w:val="auto"/>
          <w:sz w:val="21"/>
          <w:szCs w:val="21"/>
          <w:highlight w:val="none"/>
        </w:rPr>
        <w:t>32.</w:t>
      </w:r>
      <w:r>
        <w:rPr>
          <w:rFonts w:ascii="宋体" w:hAnsi="宋体"/>
          <w:color w:val="auto"/>
          <w:sz w:val="21"/>
          <w:szCs w:val="21"/>
          <w:highlight w:val="none"/>
        </w:rPr>
        <w:t>履约</w:t>
      </w:r>
      <w:r>
        <w:rPr>
          <w:rFonts w:hint="eastAsia" w:ascii="宋体" w:hAnsi="宋体"/>
          <w:color w:val="auto"/>
          <w:sz w:val="21"/>
          <w:szCs w:val="21"/>
          <w:highlight w:val="none"/>
        </w:rPr>
        <w:t>保证金</w:t>
      </w:r>
      <w:bookmarkEnd w:id="187"/>
      <w:bookmarkEnd w:id="188"/>
      <w:bookmarkEnd w:id="189"/>
      <w:bookmarkEnd w:id="190"/>
      <w:bookmarkEnd w:id="191"/>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采用履约保函方式：履约担保。是指由担保机构为投标人交纳履约保证金向采购人或采购代理机构提供的保证担保。投标人未按采购合同履行约定义务的，由担保机构按照担保函约定履行支付履约保证金的责任。</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7"/>
        </w:numPr>
        <w:spacing w:before="0" w:after="0" w:line="480" w:lineRule="auto"/>
        <w:jc w:val="center"/>
        <w:rPr>
          <w:rFonts w:ascii="宋体" w:hAnsi="宋体" w:eastAsia="宋体"/>
          <w:color w:val="auto"/>
          <w:highlight w:val="none"/>
        </w:rPr>
      </w:pPr>
      <w:bookmarkStart w:id="192" w:name="_Toc296"/>
      <w:r>
        <w:rPr>
          <w:rFonts w:hint="eastAsia" w:ascii="宋体" w:hAnsi="宋体" w:eastAsia="宋体"/>
          <w:color w:val="auto"/>
          <w:highlight w:val="none"/>
        </w:rPr>
        <w:t>询问或质疑</w:t>
      </w:r>
      <w:bookmarkEnd w:id="192"/>
    </w:p>
    <w:p>
      <w:pPr>
        <w:pStyle w:val="5"/>
        <w:widowControl w:val="0"/>
        <w:tabs>
          <w:tab w:val="left" w:pos="8286"/>
        </w:tabs>
        <w:overflowPunct w:val="0"/>
        <w:spacing w:before="0" w:after="0" w:line="240" w:lineRule="auto"/>
        <w:rPr>
          <w:rFonts w:ascii="宋体" w:hAnsi="宋体"/>
          <w:color w:val="auto"/>
          <w:sz w:val="21"/>
          <w:szCs w:val="21"/>
          <w:highlight w:val="none"/>
        </w:rPr>
      </w:pPr>
      <w:bookmarkStart w:id="193" w:name="_Toc18774"/>
      <w:bookmarkStart w:id="194" w:name="_Toc80603826"/>
      <w:r>
        <w:rPr>
          <w:rFonts w:hint="eastAsia" w:ascii="宋体" w:hAnsi="宋体"/>
          <w:color w:val="auto"/>
          <w:sz w:val="21"/>
          <w:szCs w:val="21"/>
          <w:highlight w:val="none"/>
        </w:rPr>
        <w:t>33.询问</w:t>
      </w:r>
      <w:bookmarkEnd w:id="193"/>
      <w:bookmarkEnd w:id="194"/>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195" w:name="_Toc80603827"/>
      <w:bookmarkStart w:id="196" w:name="_Toc22597"/>
      <w:r>
        <w:rPr>
          <w:rFonts w:hint="eastAsia" w:ascii="宋体" w:hAnsi="宋体"/>
          <w:color w:val="auto"/>
          <w:sz w:val="21"/>
          <w:szCs w:val="21"/>
          <w:highlight w:val="none"/>
        </w:rPr>
        <w:t>34.质疑</w:t>
      </w:r>
      <w:bookmarkEnd w:id="195"/>
      <w:bookmarkEnd w:id="196"/>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提出质疑的投标人应当是参与所质疑项目采购活动的投标人或是在规定的时间内已依法获取其可质疑的招标文件的潜在投标人。</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7"/>
        </w:numPr>
        <w:spacing w:before="0" w:after="0" w:line="480" w:lineRule="auto"/>
        <w:jc w:val="center"/>
        <w:rPr>
          <w:rFonts w:ascii="宋体" w:hAnsi="宋体" w:eastAsia="宋体"/>
          <w:color w:val="auto"/>
          <w:highlight w:val="none"/>
        </w:rPr>
      </w:pPr>
      <w:bookmarkStart w:id="197" w:name="_Toc12417"/>
      <w:r>
        <w:rPr>
          <w:rFonts w:hint="eastAsia" w:ascii="宋体" w:hAnsi="宋体" w:eastAsia="宋体"/>
          <w:color w:val="auto"/>
          <w:highlight w:val="none"/>
        </w:rPr>
        <w:t>其他</w:t>
      </w:r>
      <w:bookmarkEnd w:id="197"/>
    </w:p>
    <w:p>
      <w:pPr>
        <w:pStyle w:val="5"/>
        <w:widowControl w:val="0"/>
        <w:tabs>
          <w:tab w:val="left" w:pos="8286"/>
        </w:tabs>
        <w:overflowPunct w:val="0"/>
        <w:spacing w:before="0" w:after="0" w:line="240" w:lineRule="auto"/>
        <w:rPr>
          <w:rFonts w:ascii="宋体" w:hAnsi="宋体"/>
          <w:color w:val="auto"/>
          <w:sz w:val="21"/>
          <w:szCs w:val="21"/>
          <w:highlight w:val="none"/>
        </w:rPr>
      </w:pPr>
      <w:bookmarkStart w:id="198" w:name="_Toc80603829"/>
      <w:bookmarkStart w:id="199" w:name="_Toc9829"/>
      <w:r>
        <w:rPr>
          <w:rFonts w:hint="eastAsia" w:ascii="宋体" w:hAnsi="宋体"/>
          <w:color w:val="auto"/>
          <w:sz w:val="21"/>
          <w:szCs w:val="21"/>
          <w:highlight w:val="none"/>
        </w:rPr>
        <w:t>35.招标文件的解释权</w:t>
      </w:r>
      <w:bookmarkEnd w:id="198"/>
      <w:bookmarkEnd w:id="199"/>
    </w:p>
    <w:p>
      <w:pPr>
        <w:pStyle w:val="35"/>
        <w:widowControl w:val="0"/>
        <w:numPr>
          <w:ilvl w:val="0"/>
          <w:numId w:val="8"/>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招标文件版本号：三方诚信20210506。</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8"/>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3"/>
        <w:spacing w:before="0" w:after="0" w:line="240" w:lineRule="auto"/>
        <w:rPr>
          <w:color w:val="auto"/>
          <w:sz w:val="28"/>
          <w:szCs w:val="28"/>
          <w:highlight w:val="none"/>
        </w:rPr>
      </w:pPr>
      <w:bookmarkStart w:id="200" w:name="_Toc24543"/>
      <w:r>
        <w:rPr>
          <w:rFonts w:hint="eastAsia"/>
          <w:color w:val="auto"/>
          <w:sz w:val="28"/>
          <w:szCs w:val="28"/>
          <w:highlight w:val="none"/>
        </w:rPr>
        <w:t>第五部分 合同格式（仅供参考）</w:t>
      </w:r>
      <w:bookmarkEnd w:id="200"/>
      <w:bookmarkStart w:id="201" w:name="_Toc21155"/>
      <w:bookmarkStart w:id="202" w:name="_Toc1534"/>
      <w:bookmarkStart w:id="203" w:name="_Toc13430"/>
    </w:p>
    <w:p>
      <w:pPr>
        <w:pStyle w:val="4"/>
        <w:spacing w:before="0" w:after="0" w:line="240" w:lineRule="auto"/>
        <w:jc w:val="center"/>
        <w:rPr>
          <w:rFonts w:ascii="宋体" w:hAnsi="宋体" w:eastAsia="宋体" w:cs="宋体"/>
          <w:color w:val="auto"/>
          <w:highlight w:val="none"/>
        </w:rPr>
      </w:pPr>
      <w:bookmarkStart w:id="204" w:name="_Toc23857"/>
      <w:r>
        <w:rPr>
          <w:rFonts w:hint="eastAsia" w:ascii="宋体" w:hAnsi="宋体" w:eastAsia="宋体" w:cs="宋体"/>
          <w:color w:val="auto"/>
          <w:highlight w:val="none"/>
        </w:rPr>
        <w:t>合同格式</w:t>
      </w:r>
      <w:bookmarkEnd w:id="201"/>
      <w:bookmarkEnd w:id="202"/>
      <w:bookmarkEnd w:id="203"/>
      <w:bookmarkEnd w:id="204"/>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为中标单位。为了保护甲、乙双方合法权益，根据《中华人民共和国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205"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2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205"/>
    <w:p>
      <w:pPr>
        <w:spacing w:after="0" w:line="360" w:lineRule="auto"/>
        <w:ind w:firstLine="422" w:firstLineChars="200"/>
        <w:rPr>
          <w:rFonts w:ascii="宋体" w:hAnsi="宋体" w:eastAsia="宋体"/>
          <w:b/>
          <w:color w:val="auto"/>
          <w:sz w:val="21"/>
          <w:szCs w:val="21"/>
          <w:highlight w:val="none"/>
        </w:rPr>
      </w:pPr>
      <w:bookmarkStart w:id="206"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207" w:name="_Toc86481569"/>
      <w:r>
        <w:rPr>
          <w:rFonts w:hint="eastAsia" w:ascii="宋体" w:hAnsi="宋体" w:eastAsia="宋体"/>
          <w:b/>
          <w:color w:val="auto"/>
          <w:sz w:val="21"/>
          <w:szCs w:val="21"/>
          <w:highlight w:val="none"/>
        </w:rPr>
        <w:t>第十二条 合同生效</w:t>
      </w:r>
      <w:bookmarkEnd w:id="207"/>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206"/>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208" w:name="_Toc13929"/>
      <w:r>
        <w:rPr>
          <w:rFonts w:hint="eastAsia"/>
          <w:color w:val="auto"/>
          <w:sz w:val="28"/>
          <w:szCs w:val="28"/>
          <w:highlight w:val="none"/>
        </w:rPr>
        <w:t>第六部分  附件－投标文件格式</w:t>
      </w:r>
      <w:bookmarkEnd w:id="208"/>
    </w:p>
    <w:p>
      <w:pPr>
        <w:rPr>
          <w:color w:val="auto"/>
          <w:highlight w:val="none"/>
        </w:rPr>
      </w:pP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09" w:name="_Toc80603833"/>
      <w:bookmarkStart w:id="210" w:name="_Toc3048"/>
      <w:r>
        <w:rPr>
          <w:rFonts w:hint="eastAsia" w:ascii="宋体" w:hAnsi="宋体"/>
          <w:color w:val="auto"/>
          <w:sz w:val="21"/>
          <w:szCs w:val="21"/>
          <w:highlight w:val="none"/>
        </w:rPr>
        <w:t>附件1.投标文件目录</w:t>
      </w:r>
      <w:bookmarkEnd w:id="209"/>
      <w:bookmarkEnd w:id="21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11" w:name="_Toc80603834"/>
      <w:bookmarkStart w:id="212" w:name="_Toc10724"/>
      <w:r>
        <w:rPr>
          <w:rFonts w:hint="eastAsia" w:ascii="宋体" w:hAnsi="宋体"/>
          <w:color w:val="auto"/>
          <w:sz w:val="21"/>
          <w:szCs w:val="21"/>
          <w:highlight w:val="none"/>
        </w:rPr>
        <w:t>附件1-1 评分标准索引表</w:t>
      </w:r>
      <w:bookmarkEnd w:id="211"/>
      <w:bookmarkEnd w:id="21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2"/>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9"/>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13" w:name="_Toc80603835"/>
      <w:bookmarkStart w:id="214" w:name="_Toc28341"/>
      <w:r>
        <w:rPr>
          <w:rFonts w:hint="eastAsia" w:ascii="宋体" w:hAnsi="宋体"/>
          <w:color w:val="auto"/>
          <w:sz w:val="21"/>
          <w:szCs w:val="21"/>
          <w:highlight w:val="none"/>
        </w:rPr>
        <w:t>附件2.投标书格式</w:t>
      </w:r>
      <w:bookmarkEnd w:id="213"/>
      <w:bookmarkEnd w:id="214"/>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致：三方诚信招标有限公司东莞分公司：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highlight w:val="none"/>
        </w:rPr>
        <w:t xml:space="preserve">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个日历日。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投标人邀请中所要求的资格条件，已清楚招标文件所有要求及有关规定；并承诺参加本次采购活动中，如有违法、违规、弄虚作假行为，所造成的损失、不良后果及法律责任，一律由我方承担；</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15" w:name="_Toc80603836"/>
      <w:bookmarkStart w:id="216" w:name="_Toc5475"/>
      <w:r>
        <w:rPr>
          <w:rFonts w:hint="eastAsia" w:ascii="宋体" w:hAnsi="宋体"/>
          <w:color w:val="auto"/>
          <w:sz w:val="21"/>
          <w:szCs w:val="21"/>
          <w:highlight w:val="none"/>
        </w:rPr>
        <w:t>附件3.开标一览表格式</w:t>
      </w:r>
      <w:bookmarkEnd w:id="215"/>
      <w:bookmarkEnd w:id="216"/>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3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投标下浮率</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714" w:type="dxa"/>
            <w:vAlign w:val="top"/>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c>
          <w:tcPr>
            <w:tcW w:w="3085" w:type="dxa"/>
            <w:vAlign w:val="top"/>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c>
          <w:tcPr>
            <w:tcW w:w="3262" w:type="dxa"/>
            <w:vAlign w:val="top"/>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3、温馨提示：未按招标文件要求报价、填写开标一览表是导致投标人废标的常见问题，请投标人仔细填写，认真核对。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17" w:name="_Toc80603837"/>
      <w:bookmarkStart w:id="218" w:name="_Toc15560"/>
      <w:r>
        <w:rPr>
          <w:rFonts w:hint="eastAsia" w:ascii="宋体" w:hAnsi="宋体"/>
          <w:color w:val="auto"/>
          <w:sz w:val="21"/>
          <w:szCs w:val="21"/>
          <w:highlight w:val="none"/>
        </w:rPr>
        <w:t xml:space="preserve">附件4. </w:t>
      </w:r>
      <w:r>
        <w:rPr>
          <w:rFonts w:hint="eastAsia" w:ascii="宋体" w:hAnsi="宋体" w:cs="Times New Roman"/>
          <w:color w:val="auto"/>
          <w:sz w:val="21"/>
          <w:szCs w:val="21"/>
          <w:highlight w:val="none"/>
        </w:rPr>
        <w:t>投标分项报价表格式</w:t>
      </w:r>
      <w:bookmarkEnd w:id="217"/>
      <w:bookmarkEnd w:id="21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r>
        <w:rPr>
          <w:rFonts w:hint="eastAsia" w:ascii="宋体" w:hAnsi="宋体" w:eastAsia="宋体"/>
          <w:color w:val="auto"/>
          <w:sz w:val="21"/>
          <w:szCs w:val="21"/>
          <w:highlight w:val="none"/>
        </w:rPr>
        <w:t xml:space="preserve"> </w:t>
      </w:r>
    </w:p>
    <w:tbl>
      <w:tblPr>
        <w:tblStyle w:val="3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s="宋体"/>
          <w:b/>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19" w:name="_Toc80603838"/>
      <w:bookmarkStart w:id="220" w:name="_Toc4283"/>
      <w:r>
        <w:rPr>
          <w:rFonts w:hint="eastAsia" w:ascii="宋体" w:hAnsi="宋体"/>
          <w:color w:val="auto"/>
          <w:sz w:val="21"/>
          <w:szCs w:val="21"/>
          <w:highlight w:val="none"/>
        </w:rPr>
        <w:t>附件5. 法定代表人证明书格式</w:t>
      </w:r>
      <w:bookmarkEnd w:id="219"/>
      <w:bookmarkEnd w:id="220"/>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致：三方诚信招标有限公司东莞分公司</w:t>
      </w:r>
    </w:p>
    <w:p>
      <w:pPr>
        <w:pStyle w:val="36"/>
        <w:spacing w:line="420" w:lineRule="atLeast"/>
        <w:ind w:firstLine="433"/>
        <w:rPr>
          <w:rFonts w:ascii="宋体" w:eastAsia="宋体"/>
          <w:color w:val="auto"/>
          <w:sz w:val="21"/>
          <w:szCs w:val="21"/>
          <w:highlight w:val="none"/>
        </w:rPr>
      </w:pP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36"/>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3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517" w:hRule="atLeast"/>
          <w:jc w:val="center"/>
        </w:trPr>
        <w:tc>
          <w:tcPr>
            <w:tcW w:w="418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hAnsi="Cambria" w:eastAsia="楷体_GB2312"/>
          <w:b/>
          <w:bCs/>
          <w:color w:val="auto"/>
          <w:sz w:val="24"/>
          <w:szCs w:val="28"/>
          <w:highlight w:val="none"/>
        </w:rPr>
      </w:pPr>
      <w:r>
        <w:rPr>
          <w:rFonts w:ascii="楷体_GB2312" w:eastAsia="楷体_GB2312"/>
          <w:color w:val="auto"/>
          <w:sz w:val="24"/>
          <w:highlight w:val="none"/>
        </w:rPr>
        <w:br w:type="page"/>
      </w:r>
    </w:p>
    <w:p>
      <w:pPr>
        <w:pStyle w:val="5"/>
        <w:widowControl w:val="0"/>
        <w:tabs>
          <w:tab w:val="left" w:pos="8286"/>
        </w:tabs>
        <w:overflowPunct w:val="0"/>
        <w:spacing w:before="0" w:after="0" w:line="240" w:lineRule="auto"/>
        <w:rPr>
          <w:color w:val="auto"/>
          <w:highlight w:val="none"/>
        </w:rPr>
      </w:pPr>
      <w:bookmarkStart w:id="221" w:name="_Toc80603839"/>
      <w:bookmarkStart w:id="222" w:name="_Toc13693"/>
      <w:r>
        <w:rPr>
          <w:rFonts w:hint="eastAsia" w:ascii="宋体" w:hAnsi="宋体"/>
          <w:color w:val="auto"/>
          <w:sz w:val="21"/>
          <w:szCs w:val="21"/>
          <w:highlight w:val="none"/>
        </w:rPr>
        <w:t>附件6.法定代表人授权书格式</w:t>
      </w:r>
      <w:bookmarkEnd w:id="221"/>
      <w:bookmarkEnd w:id="22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致：三方诚信招标有限公司东莞分公司</w:t>
      </w:r>
    </w:p>
    <w:p>
      <w:pPr>
        <w:pStyle w:val="36"/>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6"/>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36"/>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3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61" w:hRule="atLeast"/>
          <w:jc w:val="center"/>
        </w:trPr>
        <w:tc>
          <w:tcPr>
            <w:tcW w:w="423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223" w:name="_Toc22486"/>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24" w:name="_Toc22546"/>
      <w:bookmarkStart w:id="225" w:name="_Toc80603840"/>
      <w:r>
        <w:rPr>
          <w:rFonts w:hint="eastAsia" w:ascii="宋体" w:hAnsi="宋体"/>
          <w:color w:val="auto"/>
          <w:sz w:val="21"/>
          <w:szCs w:val="21"/>
          <w:highlight w:val="none"/>
        </w:rPr>
        <w:t>附件7.资格申明</w:t>
      </w:r>
      <w:bookmarkEnd w:id="224"/>
      <w:bookmarkEnd w:id="225"/>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三方诚信招标有限公司东莞分公司：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一、我方具备投标人邀请中所要求得资格条件，已清楚招标文件所有要求及有关规定；并承诺参加本次政府采购活动中，如有违法、违规、弄虚作假行为，所造成的损失、不良后果及法律责任，一律由我方承担；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三方诚信招标有限公司东莞分公司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26" w:name="_Toc9656"/>
      <w:bookmarkStart w:id="227" w:name="_Toc80603841"/>
      <w:r>
        <w:rPr>
          <w:rFonts w:hint="eastAsia" w:ascii="宋体" w:hAnsi="宋体"/>
          <w:color w:val="auto"/>
          <w:sz w:val="21"/>
          <w:szCs w:val="21"/>
          <w:highlight w:val="none"/>
        </w:rPr>
        <w:t>附件8.营业执照</w:t>
      </w:r>
      <w:bookmarkEnd w:id="226"/>
      <w:bookmarkEnd w:id="227"/>
    </w:p>
    <w:p>
      <w:pPr>
        <w:jc w:val="center"/>
        <w:rPr>
          <w:rFonts w:ascii="黑体" w:eastAsia="黑体"/>
          <w:color w:val="auto"/>
          <w:sz w:val="28"/>
          <w:szCs w:val="28"/>
          <w:highlight w:val="none"/>
        </w:rPr>
      </w:pPr>
      <w:bookmarkStart w:id="228" w:name="_Toc5919"/>
      <w:bookmarkStart w:id="229" w:name="_Toc24210"/>
      <w:bookmarkStart w:id="230" w:name="_Toc4926"/>
      <w:bookmarkStart w:id="231" w:name="_Toc17470"/>
      <w:bookmarkStart w:id="232" w:name="_Toc1511"/>
      <w:r>
        <w:rPr>
          <w:rFonts w:hint="eastAsia" w:ascii="黑体" w:eastAsia="黑体"/>
          <w:color w:val="auto"/>
          <w:sz w:val="28"/>
          <w:szCs w:val="28"/>
          <w:highlight w:val="none"/>
        </w:rPr>
        <w:t>营业执照</w:t>
      </w:r>
      <w:bookmarkEnd w:id="228"/>
      <w:bookmarkEnd w:id="229"/>
      <w:bookmarkEnd w:id="230"/>
      <w:bookmarkEnd w:id="231"/>
      <w:bookmarkEnd w:id="232"/>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33" w:name="_Toc80603842"/>
      <w:bookmarkStart w:id="234" w:name="_Toc9416"/>
      <w:r>
        <w:rPr>
          <w:rFonts w:hint="eastAsia" w:ascii="宋体" w:hAnsi="宋体"/>
          <w:color w:val="auto"/>
          <w:sz w:val="21"/>
          <w:szCs w:val="21"/>
          <w:highlight w:val="none"/>
        </w:rPr>
        <w:t>附件9.相关资质证明文件</w:t>
      </w:r>
      <w:bookmarkEnd w:id="233"/>
      <w:bookmarkEnd w:id="234"/>
    </w:p>
    <w:p>
      <w:pPr>
        <w:rPr>
          <w:color w:val="auto"/>
          <w:highlight w:val="none"/>
        </w:rPr>
      </w:pPr>
    </w:p>
    <w:p>
      <w:pPr>
        <w:jc w:val="center"/>
        <w:rPr>
          <w:rFonts w:ascii="黑体" w:eastAsia="黑体"/>
          <w:color w:val="auto"/>
          <w:sz w:val="28"/>
          <w:szCs w:val="28"/>
          <w:highlight w:val="none"/>
        </w:rPr>
      </w:pPr>
      <w:bookmarkStart w:id="235" w:name="_Toc16698"/>
      <w:bookmarkStart w:id="236" w:name="_Toc9592"/>
      <w:bookmarkStart w:id="237" w:name="_Toc13458"/>
      <w:bookmarkStart w:id="238" w:name="_Toc30307"/>
      <w:bookmarkStart w:id="239" w:name="_Toc16233"/>
      <w:r>
        <w:rPr>
          <w:rFonts w:hint="eastAsia" w:ascii="黑体" w:eastAsia="黑体"/>
          <w:color w:val="auto"/>
          <w:sz w:val="28"/>
          <w:szCs w:val="28"/>
          <w:highlight w:val="none"/>
        </w:rPr>
        <w:t>相关资质证明文件</w:t>
      </w:r>
      <w:bookmarkEnd w:id="223"/>
      <w:bookmarkEnd w:id="235"/>
      <w:bookmarkEnd w:id="236"/>
      <w:bookmarkEnd w:id="237"/>
      <w:bookmarkEnd w:id="238"/>
      <w:bookmarkEnd w:id="239"/>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40" w:name="_Toc80603843"/>
      <w:bookmarkStart w:id="241" w:name="_Toc5888"/>
      <w:r>
        <w:rPr>
          <w:rFonts w:hint="eastAsia" w:ascii="宋体" w:hAnsi="宋体"/>
          <w:color w:val="auto"/>
          <w:sz w:val="21"/>
          <w:szCs w:val="21"/>
          <w:highlight w:val="none"/>
        </w:rPr>
        <w:t>附件10. 商务条款偏离表格式</w:t>
      </w:r>
      <w:bookmarkEnd w:id="240"/>
      <w:bookmarkEnd w:id="24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31"/>
        <w:tblW w:w="8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2、商务条款包括但不限于合格投标人资格、付款方式、履约保证金、完工期、售后服务、检验及验收、保险、争端的解决等要求。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3、投标人若未填写完整则视为完全响应招标文件的商务要求，因此对投标人投标产生负面影响的，投标人自行承担后果。</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42" w:name="_Toc15315"/>
      <w:bookmarkStart w:id="243" w:name="_Toc80603844"/>
      <w:r>
        <w:rPr>
          <w:rFonts w:hint="eastAsia" w:ascii="宋体" w:hAnsi="宋体"/>
          <w:color w:val="auto"/>
          <w:sz w:val="21"/>
          <w:szCs w:val="21"/>
          <w:highlight w:val="none"/>
        </w:rPr>
        <w:t>附件11. 技术规格偏离表格式</w:t>
      </w:r>
      <w:bookmarkEnd w:id="242"/>
      <w:bookmarkEnd w:id="24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3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3、投标人若未填写完整则视为完全响应招标文件的技术要求，因此对投标人投标产生负面影响的，投标人自行承担后果。</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244" w:name="_Toc17691"/>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s="Times New Roman"/>
          <w:b w:val="0"/>
          <w:bCs w:val="0"/>
          <w:color w:val="auto"/>
          <w:sz w:val="32"/>
          <w:szCs w:val="32"/>
          <w:highlight w:val="none"/>
        </w:rPr>
      </w:pPr>
      <w:bookmarkStart w:id="245" w:name="_Toc15830"/>
      <w:bookmarkStart w:id="246" w:name="_Toc80603845"/>
      <w:r>
        <w:rPr>
          <w:rFonts w:hint="eastAsia" w:ascii="宋体" w:hAnsi="宋体"/>
          <w:color w:val="auto"/>
          <w:sz w:val="21"/>
          <w:szCs w:val="21"/>
          <w:highlight w:val="none"/>
        </w:rPr>
        <w:t>附件12.重要技术参数（▲）响应表</w:t>
      </w:r>
      <w:bookmarkEnd w:id="244"/>
      <w:bookmarkEnd w:id="245"/>
      <w:bookmarkEnd w:id="246"/>
    </w:p>
    <w:p>
      <w:pPr>
        <w:jc w:val="center"/>
        <w:rPr>
          <w:rFonts w:ascii="黑体" w:eastAsia="黑体"/>
          <w:color w:val="auto"/>
          <w:sz w:val="28"/>
          <w:szCs w:val="28"/>
          <w:highlight w:val="none"/>
        </w:rPr>
      </w:pPr>
      <w:bookmarkStart w:id="247" w:name="_Toc26078"/>
      <w:bookmarkStart w:id="248" w:name="_Toc18668"/>
      <w:bookmarkStart w:id="249" w:name="_Toc4827"/>
      <w:bookmarkStart w:id="250" w:name="_Toc6080"/>
      <w:bookmarkStart w:id="251" w:name="_Toc1274"/>
      <w:bookmarkStart w:id="252" w:name="_Toc4464"/>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247"/>
      <w:bookmarkEnd w:id="248"/>
      <w:bookmarkEnd w:id="249"/>
      <w:bookmarkEnd w:id="250"/>
      <w:bookmarkEnd w:id="251"/>
      <w:bookmarkEnd w:id="252"/>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bookmarkStart w:id="253" w:name="_Toc27090"/>
            <w:bookmarkStart w:id="254" w:name="_Toc2700"/>
            <w:bookmarkStart w:id="255" w:name="_Toc12049"/>
            <w:bookmarkStart w:id="256" w:name="_Toc15903"/>
            <w:bookmarkStart w:id="257" w:name="_Toc22448"/>
            <w:bookmarkStart w:id="258" w:name="_Toc16872"/>
            <w:bookmarkStart w:id="259" w:name="_Toc21739"/>
            <w:bookmarkStart w:id="260" w:name="_Toc14815"/>
            <w:bookmarkStart w:id="261" w:name="_Toc80603846"/>
            <w:bookmarkStart w:id="262" w:name="_Toc32136"/>
            <w:bookmarkStart w:id="263" w:name="_Toc10045"/>
            <w:r>
              <w:rPr>
                <w:rFonts w:hint="eastAsia" w:ascii="宋体" w:hAnsi="宋体" w:cs="Times New Roman"/>
                <w:color w:val="auto"/>
                <w:sz w:val="21"/>
                <w:szCs w:val="21"/>
                <w:highlight w:val="none"/>
              </w:rPr>
              <w:t>技术参数（▲）</w:t>
            </w:r>
            <w:bookmarkEnd w:id="253"/>
            <w:bookmarkEnd w:id="254"/>
            <w:bookmarkEnd w:id="255"/>
            <w:bookmarkEnd w:id="256"/>
            <w:bookmarkEnd w:id="257"/>
            <w:bookmarkEnd w:id="258"/>
            <w:bookmarkEnd w:id="259"/>
            <w:bookmarkEnd w:id="260"/>
            <w:bookmarkEnd w:id="261"/>
            <w:bookmarkEnd w:id="262"/>
            <w:bookmarkEnd w:id="263"/>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bookmarkStart w:id="264" w:name="_Toc24662"/>
            <w:bookmarkStart w:id="265" w:name="_Toc19251"/>
            <w:bookmarkStart w:id="266" w:name="_Toc7333"/>
            <w:bookmarkStart w:id="267" w:name="_Toc8490"/>
            <w:bookmarkStart w:id="268" w:name="_Toc32531"/>
            <w:bookmarkStart w:id="269" w:name="_Toc21809"/>
            <w:bookmarkStart w:id="270" w:name="_Toc8312"/>
            <w:bookmarkStart w:id="271" w:name="_Toc27442"/>
            <w:bookmarkStart w:id="272" w:name="_Toc22879"/>
            <w:bookmarkStart w:id="273" w:name="_Toc80603847"/>
            <w:bookmarkStart w:id="274" w:name="_Toc26542"/>
            <w:r>
              <w:rPr>
                <w:rFonts w:hint="eastAsia" w:ascii="宋体" w:hAnsi="宋体" w:cs="Times New Roman"/>
                <w:color w:val="auto"/>
                <w:sz w:val="21"/>
                <w:szCs w:val="21"/>
                <w:highlight w:val="none"/>
              </w:rPr>
              <w:t>是否响应</w:t>
            </w:r>
            <w:bookmarkEnd w:id="264"/>
            <w:bookmarkEnd w:id="265"/>
            <w:bookmarkEnd w:id="266"/>
            <w:bookmarkEnd w:id="267"/>
            <w:bookmarkEnd w:id="268"/>
            <w:bookmarkEnd w:id="269"/>
            <w:bookmarkEnd w:id="270"/>
            <w:bookmarkEnd w:id="271"/>
            <w:bookmarkEnd w:id="272"/>
            <w:bookmarkEnd w:id="273"/>
            <w:bookmarkEnd w:id="274"/>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bookmarkStart w:id="275" w:name="_Toc1330"/>
            <w:bookmarkStart w:id="276" w:name="_Toc20139"/>
            <w:bookmarkStart w:id="277" w:name="_Toc5563"/>
            <w:bookmarkStart w:id="278" w:name="_Toc17642"/>
            <w:bookmarkStart w:id="279" w:name="_Toc5992"/>
            <w:bookmarkStart w:id="280" w:name="_Toc20820"/>
            <w:bookmarkStart w:id="281" w:name="_Toc3701"/>
            <w:bookmarkStart w:id="282" w:name="_Toc27185"/>
            <w:bookmarkStart w:id="283" w:name="_Toc80603848"/>
            <w:bookmarkStart w:id="284" w:name="_Toc32313"/>
            <w:bookmarkStart w:id="285" w:name="_Toc17296"/>
            <w:r>
              <w:rPr>
                <w:rFonts w:hint="eastAsia" w:ascii="宋体" w:hAnsi="宋体" w:cs="Times New Roman"/>
                <w:color w:val="auto"/>
                <w:sz w:val="21"/>
                <w:szCs w:val="21"/>
                <w:highlight w:val="none"/>
              </w:rPr>
              <w:t>页码范围</w:t>
            </w:r>
            <w:bookmarkEnd w:id="275"/>
            <w:bookmarkEnd w:id="276"/>
            <w:bookmarkEnd w:id="277"/>
            <w:bookmarkEnd w:id="278"/>
            <w:bookmarkEnd w:id="279"/>
            <w:bookmarkEnd w:id="280"/>
            <w:bookmarkEnd w:id="281"/>
            <w:bookmarkEnd w:id="282"/>
            <w:bookmarkEnd w:id="283"/>
            <w:bookmarkEnd w:id="284"/>
            <w:bookmarkEnd w:id="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2"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c>
          <w:tcPr>
            <w:tcW w:w="2840" w:type="dxa"/>
            <w:vAlign w:val="center"/>
          </w:tcPr>
          <w:p>
            <w:pPr>
              <w:pStyle w:val="5"/>
              <w:widowControl w:val="0"/>
              <w:tabs>
                <w:tab w:val="left" w:pos="8286"/>
              </w:tabs>
              <w:overflowPunct w:val="0"/>
              <w:spacing w:before="0" w:after="0" w:line="240" w:lineRule="auto"/>
              <w:jc w:val="center"/>
              <w:rPr>
                <w:rFonts w:ascii="宋体" w:hAnsi="宋体" w:cs="Times New Roman"/>
                <w:color w:val="auto"/>
                <w:sz w:val="21"/>
                <w:szCs w:val="21"/>
                <w:highlight w:val="none"/>
              </w:rPr>
            </w:pPr>
          </w:p>
        </w:tc>
      </w:tr>
    </w:tbl>
    <w:p>
      <w:pPr>
        <w:pStyle w:val="35"/>
        <w:spacing w:after="0" w:line="360" w:lineRule="auto"/>
        <w:rPr>
          <w:rFonts w:ascii="宋体" w:hAnsi="宋体" w:eastAsia="宋体"/>
          <w:color w:val="auto"/>
          <w:sz w:val="21"/>
          <w:szCs w:val="21"/>
          <w:highlight w:val="none"/>
        </w:rPr>
      </w:pPr>
    </w:p>
    <w:p>
      <w:pPr>
        <w:pStyle w:val="35"/>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5"/>
        <w:numPr>
          <w:ilvl w:val="0"/>
          <w:numId w:val="14"/>
        </w:numPr>
        <w:spacing w:after="0"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5"/>
        <w:numPr>
          <w:ilvl w:val="0"/>
          <w:numId w:val="14"/>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35"/>
        <w:numPr>
          <w:ilvl w:val="0"/>
          <w:numId w:val="14"/>
        </w:numPr>
        <w:spacing w:after="0"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35"/>
        <w:numPr>
          <w:ilvl w:val="0"/>
          <w:numId w:val="14"/>
        </w:numPr>
        <w:spacing w:after="0"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35"/>
        <w:numPr>
          <w:ilvl w:val="0"/>
          <w:numId w:val="14"/>
        </w:numPr>
        <w:spacing w:after="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30"/>
          <w:szCs w:val="30"/>
          <w:highlight w:val="none"/>
        </w:rPr>
      </w:pPr>
      <w:bookmarkStart w:id="286" w:name="_Toc80603849"/>
      <w:bookmarkStart w:id="287" w:name="_Toc2455"/>
      <w:r>
        <w:rPr>
          <w:rFonts w:hint="eastAsia" w:ascii="宋体" w:hAnsi="宋体"/>
          <w:color w:val="auto"/>
          <w:sz w:val="21"/>
          <w:szCs w:val="21"/>
          <w:highlight w:val="none"/>
        </w:rPr>
        <w:t>附件13.业绩表</w:t>
      </w:r>
      <w:bookmarkEnd w:id="286"/>
      <w:bookmarkEnd w:id="28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32"/>
        <w:tblW w:w="8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92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923"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479"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923" w:type="dxa"/>
            <w:vAlign w:val="center"/>
          </w:tcPr>
          <w:p>
            <w:pPr>
              <w:adjustRightInd/>
              <w:snapToGrid/>
              <w:spacing w:after="0"/>
              <w:jc w:val="center"/>
              <w:rPr>
                <w:rFonts w:ascii="宋体" w:hAnsi="宋体" w:eastAsia="宋体"/>
                <w:color w:val="auto"/>
                <w:sz w:val="21"/>
                <w:szCs w:val="21"/>
                <w:highlight w:val="none"/>
              </w:rPr>
            </w:pPr>
          </w:p>
        </w:tc>
        <w:tc>
          <w:tcPr>
            <w:tcW w:w="1479"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923" w:type="dxa"/>
            <w:vAlign w:val="top"/>
          </w:tcPr>
          <w:p>
            <w:pPr>
              <w:adjustRightInd/>
              <w:snapToGrid/>
              <w:spacing w:after="0"/>
              <w:rPr>
                <w:rFonts w:ascii="宋体" w:hAnsi="宋体" w:eastAsia="宋体"/>
                <w:color w:val="auto"/>
                <w:sz w:val="21"/>
                <w:szCs w:val="21"/>
                <w:highlight w:val="none"/>
              </w:rPr>
            </w:pPr>
          </w:p>
        </w:tc>
        <w:tc>
          <w:tcPr>
            <w:tcW w:w="1479"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923" w:type="dxa"/>
            <w:vAlign w:val="top"/>
          </w:tcPr>
          <w:p>
            <w:pPr>
              <w:adjustRightInd/>
              <w:snapToGrid/>
              <w:spacing w:after="0"/>
              <w:rPr>
                <w:rFonts w:ascii="宋体" w:hAnsi="宋体" w:eastAsia="宋体"/>
                <w:color w:val="auto"/>
                <w:sz w:val="21"/>
                <w:szCs w:val="21"/>
                <w:highlight w:val="none"/>
              </w:rPr>
            </w:pPr>
          </w:p>
        </w:tc>
        <w:tc>
          <w:tcPr>
            <w:tcW w:w="1479"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923" w:type="dxa"/>
            <w:vAlign w:val="top"/>
          </w:tcPr>
          <w:p>
            <w:pPr>
              <w:adjustRightInd/>
              <w:snapToGrid/>
              <w:spacing w:after="0"/>
              <w:rPr>
                <w:rFonts w:ascii="宋体" w:hAnsi="宋体" w:eastAsia="宋体"/>
                <w:color w:val="auto"/>
                <w:sz w:val="21"/>
                <w:szCs w:val="21"/>
                <w:highlight w:val="none"/>
              </w:rPr>
            </w:pPr>
          </w:p>
        </w:tc>
        <w:tc>
          <w:tcPr>
            <w:tcW w:w="1479"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923" w:type="dxa"/>
            <w:vAlign w:val="top"/>
          </w:tcPr>
          <w:p>
            <w:pPr>
              <w:adjustRightInd/>
              <w:snapToGrid/>
              <w:spacing w:after="0"/>
              <w:rPr>
                <w:rFonts w:ascii="宋体" w:hAnsi="宋体" w:eastAsia="宋体"/>
                <w:color w:val="auto"/>
                <w:sz w:val="21"/>
                <w:szCs w:val="21"/>
                <w:highlight w:val="none"/>
              </w:rPr>
            </w:pPr>
          </w:p>
        </w:tc>
        <w:tc>
          <w:tcPr>
            <w:tcW w:w="1479" w:type="dxa"/>
            <w:vAlign w:val="top"/>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top"/>
          </w:tcPr>
          <w:p>
            <w:pPr>
              <w:adjustRightInd/>
              <w:snapToGrid/>
              <w:spacing w:after="0"/>
              <w:rPr>
                <w:rFonts w:ascii="宋体" w:hAnsi="宋体" w:eastAsia="宋体"/>
                <w:color w:val="auto"/>
                <w:sz w:val="21"/>
                <w:szCs w:val="21"/>
                <w:highlight w:val="none"/>
              </w:rPr>
            </w:pPr>
          </w:p>
        </w:tc>
        <w:tc>
          <w:tcPr>
            <w:tcW w:w="1705" w:type="dxa"/>
            <w:vAlign w:val="top"/>
          </w:tcPr>
          <w:p>
            <w:pPr>
              <w:adjustRightInd/>
              <w:snapToGrid/>
              <w:spacing w:after="0"/>
              <w:rPr>
                <w:rFonts w:ascii="宋体" w:hAnsi="宋体" w:eastAsia="宋体"/>
                <w:color w:val="auto"/>
                <w:sz w:val="21"/>
                <w:szCs w:val="21"/>
                <w:highlight w:val="none"/>
              </w:rPr>
            </w:pPr>
          </w:p>
        </w:tc>
        <w:tc>
          <w:tcPr>
            <w:tcW w:w="1706" w:type="dxa"/>
            <w:vAlign w:val="top"/>
          </w:tcPr>
          <w:p>
            <w:pPr>
              <w:adjustRightInd/>
              <w:snapToGrid/>
              <w:spacing w:after="0"/>
              <w:rPr>
                <w:rFonts w:ascii="宋体" w:hAnsi="宋体" w:eastAsia="宋体"/>
                <w:color w:val="auto"/>
                <w:sz w:val="21"/>
                <w:szCs w:val="21"/>
                <w:highlight w:val="none"/>
              </w:rPr>
            </w:pPr>
          </w:p>
        </w:tc>
        <w:tc>
          <w:tcPr>
            <w:tcW w:w="1923" w:type="dxa"/>
            <w:vAlign w:val="top"/>
          </w:tcPr>
          <w:p>
            <w:pPr>
              <w:adjustRightInd/>
              <w:snapToGrid/>
              <w:spacing w:after="0"/>
              <w:rPr>
                <w:rFonts w:ascii="宋体" w:hAnsi="宋体" w:eastAsia="宋体"/>
                <w:color w:val="auto"/>
                <w:sz w:val="21"/>
                <w:szCs w:val="21"/>
                <w:highlight w:val="none"/>
              </w:rPr>
            </w:pPr>
          </w:p>
        </w:tc>
        <w:tc>
          <w:tcPr>
            <w:tcW w:w="1479" w:type="dxa"/>
            <w:vAlign w:val="top"/>
          </w:tcPr>
          <w:p>
            <w:pPr>
              <w:adjustRightInd/>
              <w:snapToGrid/>
              <w:spacing w:after="0"/>
              <w:rPr>
                <w:rFonts w:ascii="宋体" w:hAnsi="宋体" w:eastAsia="宋体"/>
                <w:color w:val="auto"/>
                <w:sz w:val="21"/>
                <w:szCs w:val="21"/>
                <w:highlight w:val="none"/>
              </w:rPr>
            </w:pPr>
          </w:p>
        </w:tc>
      </w:tr>
    </w:tbl>
    <w:p>
      <w:pPr>
        <w:pStyle w:val="35"/>
        <w:spacing w:after="0"/>
        <w:rPr>
          <w:rFonts w:ascii="宋体" w:hAnsi="宋体" w:eastAsia="宋体"/>
          <w:color w:val="auto"/>
          <w:sz w:val="21"/>
          <w:szCs w:val="21"/>
          <w:highlight w:val="none"/>
        </w:rPr>
      </w:pPr>
    </w:p>
    <w:p>
      <w:pPr>
        <w:pStyle w:val="35"/>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5"/>
        <w:numPr>
          <w:ilvl w:val="0"/>
          <w:numId w:val="1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5"/>
        <w:numPr>
          <w:ilvl w:val="0"/>
          <w:numId w:val="1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5"/>
        <w:numPr>
          <w:ilvl w:val="0"/>
          <w:numId w:val="15"/>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88" w:name="_Toc80603850"/>
      <w:bookmarkStart w:id="289" w:name="_Toc20654"/>
      <w:r>
        <w:rPr>
          <w:rFonts w:hint="eastAsia" w:ascii="宋体" w:hAnsi="宋体"/>
          <w:color w:val="auto"/>
          <w:sz w:val="21"/>
          <w:szCs w:val="21"/>
          <w:highlight w:val="none"/>
        </w:rPr>
        <w:t>附件14. 项目实施方案格式</w:t>
      </w:r>
      <w:bookmarkEnd w:id="288"/>
      <w:bookmarkEnd w:id="289"/>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90" w:name="_Toc32072"/>
      <w:bookmarkStart w:id="291" w:name="_Toc80603851"/>
      <w:r>
        <w:rPr>
          <w:rFonts w:hint="eastAsia" w:ascii="宋体" w:hAnsi="宋体"/>
          <w:color w:val="auto"/>
          <w:sz w:val="21"/>
          <w:szCs w:val="21"/>
          <w:highlight w:val="none"/>
        </w:rPr>
        <w:t>附件15. 实施本项目的有关人员资料表格式</w:t>
      </w:r>
      <w:bookmarkEnd w:id="290"/>
      <w:bookmarkEnd w:id="291"/>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31"/>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5"/>
        <w:numPr>
          <w:ilvl w:val="0"/>
          <w:numId w:val="1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投标人可按项目的实际需要提供本表格。</w:t>
      </w:r>
    </w:p>
    <w:p>
      <w:pPr>
        <w:pStyle w:val="35"/>
        <w:numPr>
          <w:ilvl w:val="0"/>
          <w:numId w:val="16"/>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spacing w:after="0" w:line="360" w:lineRule="auto"/>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3、投标人若未提供或未填写完整则视为完全响应招标文件的人员要求，因此对投标人投标产生负面影响的，投标人自行承担后果。</w:t>
      </w:r>
    </w:p>
    <w:p>
      <w:pPr>
        <w:pStyle w:val="35"/>
        <w:numPr>
          <w:ilvl w:val="0"/>
          <w:numId w:val="16"/>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宋体" w:hAnsi="宋体"/>
          <w:color w:val="auto"/>
          <w:sz w:val="21"/>
          <w:szCs w:val="21"/>
          <w:highlight w:val="none"/>
        </w:rPr>
      </w:pPr>
      <w:bookmarkStart w:id="292" w:name="_Toc31119"/>
      <w:bookmarkStart w:id="293" w:name="_Toc80603852"/>
      <w:r>
        <w:rPr>
          <w:rFonts w:hint="eastAsia" w:ascii="宋体" w:hAnsi="宋体"/>
          <w:color w:val="auto"/>
          <w:sz w:val="21"/>
          <w:szCs w:val="21"/>
          <w:highlight w:val="none"/>
        </w:rPr>
        <w:t>附件16.投标货物说明一览表格式</w:t>
      </w:r>
      <w:bookmarkEnd w:id="292"/>
      <w:bookmarkEnd w:id="293"/>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31"/>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43"/>
        <w:gridCol w:w="1132"/>
        <w:gridCol w:w="850"/>
        <w:gridCol w:w="850"/>
        <w:gridCol w:w="850"/>
        <w:gridCol w:w="850"/>
        <w:gridCol w:w="115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243"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132"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850"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品牌</w:t>
            </w:r>
          </w:p>
        </w:tc>
        <w:tc>
          <w:tcPr>
            <w:tcW w:w="850"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制造商</w:t>
            </w:r>
          </w:p>
        </w:tc>
        <w:tc>
          <w:tcPr>
            <w:tcW w:w="850"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产地</w:t>
            </w:r>
          </w:p>
        </w:tc>
        <w:tc>
          <w:tcPr>
            <w:tcW w:w="850"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159"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914"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p>
        </w:tc>
        <w:tc>
          <w:tcPr>
            <w:tcW w:w="1243" w:type="dxa"/>
            <w:vAlign w:val="center"/>
          </w:tcPr>
          <w:p>
            <w:pPr>
              <w:spacing w:after="0"/>
              <w:jc w:val="center"/>
              <w:rPr>
                <w:rFonts w:ascii="宋体" w:hAnsi="宋体" w:eastAsia="宋体" w:cs="Times New Roman"/>
                <w:color w:val="auto"/>
                <w:sz w:val="21"/>
                <w:szCs w:val="21"/>
                <w:highlight w:val="none"/>
              </w:rPr>
            </w:pPr>
          </w:p>
        </w:tc>
        <w:tc>
          <w:tcPr>
            <w:tcW w:w="1132"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1159" w:type="dxa"/>
            <w:vAlign w:val="center"/>
          </w:tcPr>
          <w:p>
            <w:pPr>
              <w:spacing w:after="0"/>
              <w:jc w:val="center"/>
              <w:rPr>
                <w:rFonts w:ascii="宋体" w:hAnsi="宋体" w:eastAsia="宋体" w:cs="Times New Roman"/>
                <w:color w:val="auto"/>
                <w:sz w:val="21"/>
                <w:szCs w:val="21"/>
                <w:highlight w:val="none"/>
              </w:rPr>
            </w:pPr>
          </w:p>
        </w:tc>
        <w:tc>
          <w:tcPr>
            <w:tcW w:w="914"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p>
        </w:tc>
        <w:tc>
          <w:tcPr>
            <w:tcW w:w="1243" w:type="dxa"/>
            <w:vAlign w:val="center"/>
          </w:tcPr>
          <w:p>
            <w:pPr>
              <w:spacing w:after="0"/>
              <w:jc w:val="center"/>
              <w:rPr>
                <w:rFonts w:ascii="宋体" w:hAnsi="宋体" w:eastAsia="宋体" w:cs="Times New Roman"/>
                <w:color w:val="auto"/>
                <w:sz w:val="21"/>
                <w:szCs w:val="21"/>
                <w:highlight w:val="none"/>
              </w:rPr>
            </w:pPr>
          </w:p>
        </w:tc>
        <w:tc>
          <w:tcPr>
            <w:tcW w:w="1132"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1159" w:type="dxa"/>
            <w:vAlign w:val="center"/>
          </w:tcPr>
          <w:p>
            <w:pPr>
              <w:spacing w:after="0"/>
              <w:jc w:val="center"/>
              <w:rPr>
                <w:rFonts w:ascii="宋体" w:hAnsi="宋体" w:eastAsia="宋体" w:cs="Times New Roman"/>
                <w:color w:val="auto"/>
                <w:sz w:val="21"/>
                <w:szCs w:val="21"/>
                <w:highlight w:val="none"/>
              </w:rPr>
            </w:pPr>
          </w:p>
        </w:tc>
        <w:tc>
          <w:tcPr>
            <w:tcW w:w="914"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p>
        </w:tc>
        <w:tc>
          <w:tcPr>
            <w:tcW w:w="1243" w:type="dxa"/>
            <w:vAlign w:val="center"/>
          </w:tcPr>
          <w:p>
            <w:pPr>
              <w:spacing w:after="0"/>
              <w:jc w:val="center"/>
              <w:rPr>
                <w:rFonts w:ascii="宋体" w:hAnsi="宋体" w:eastAsia="宋体" w:cs="Times New Roman"/>
                <w:color w:val="auto"/>
                <w:sz w:val="21"/>
                <w:szCs w:val="21"/>
                <w:highlight w:val="none"/>
              </w:rPr>
            </w:pPr>
          </w:p>
        </w:tc>
        <w:tc>
          <w:tcPr>
            <w:tcW w:w="1132"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1159" w:type="dxa"/>
            <w:vAlign w:val="center"/>
          </w:tcPr>
          <w:p>
            <w:pPr>
              <w:spacing w:after="0"/>
              <w:jc w:val="center"/>
              <w:rPr>
                <w:rFonts w:ascii="宋体" w:hAnsi="宋体" w:eastAsia="宋体" w:cs="Times New Roman"/>
                <w:color w:val="auto"/>
                <w:sz w:val="21"/>
                <w:szCs w:val="21"/>
                <w:highlight w:val="none"/>
              </w:rPr>
            </w:pPr>
          </w:p>
        </w:tc>
        <w:tc>
          <w:tcPr>
            <w:tcW w:w="914"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p>
        </w:tc>
        <w:tc>
          <w:tcPr>
            <w:tcW w:w="1243" w:type="dxa"/>
            <w:vAlign w:val="center"/>
          </w:tcPr>
          <w:p>
            <w:pPr>
              <w:spacing w:after="0"/>
              <w:jc w:val="center"/>
              <w:rPr>
                <w:rFonts w:ascii="宋体" w:hAnsi="宋体" w:eastAsia="宋体" w:cs="Times New Roman"/>
                <w:color w:val="auto"/>
                <w:sz w:val="21"/>
                <w:szCs w:val="21"/>
                <w:highlight w:val="none"/>
              </w:rPr>
            </w:pPr>
          </w:p>
        </w:tc>
        <w:tc>
          <w:tcPr>
            <w:tcW w:w="1132"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1159" w:type="dxa"/>
            <w:vAlign w:val="center"/>
          </w:tcPr>
          <w:p>
            <w:pPr>
              <w:spacing w:after="0"/>
              <w:jc w:val="center"/>
              <w:rPr>
                <w:rFonts w:ascii="宋体" w:hAnsi="宋体" w:eastAsia="宋体" w:cs="Times New Roman"/>
                <w:color w:val="auto"/>
                <w:sz w:val="21"/>
                <w:szCs w:val="21"/>
                <w:highlight w:val="none"/>
              </w:rPr>
            </w:pPr>
          </w:p>
        </w:tc>
        <w:tc>
          <w:tcPr>
            <w:tcW w:w="914"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p>
        </w:tc>
        <w:tc>
          <w:tcPr>
            <w:tcW w:w="1243" w:type="dxa"/>
            <w:vAlign w:val="center"/>
          </w:tcPr>
          <w:p>
            <w:pPr>
              <w:spacing w:after="0"/>
              <w:jc w:val="center"/>
              <w:rPr>
                <w:rFonts w:ascii="宋体" w:hAnsi="宋体" w:eastAsia="宋体" w:cs="Times New Roman"/>
                <w:color w:val="auto"/>
                <w:sz w:val="21"/>
                <w:szCs w:val="21"/>
                <w:highlight w:val="none"/>
              </w:rPr>
            </w:pPr>
          </w:p>
        </w:tc>
        <w:tc>
          <w:tcPr>
            <w:tcW w:w="1132"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1159" w:type="dxa"/>
            <w:vAlign w:val="center"/>
          </w:tcPr>
          <w:p>
            <w:pPr>
              <w:spacing w:after="0"/>
              <w:jc w:val="center"/>
              <w:rPr>
                <w:rFonts w:ascii="宋体" w:hAnsi="宋体" w:eastAsia="宋体" w:cs="Times New Roman"/>
                <w:color w:val="auto"/>
                <w:sz w:val="21"/>
                <w:szCs w:val="21"/>
                <w:highlight w:val="none"/>
              </w:rPr>
            </w:pPr>
          </w:p>
        </w:tc>
        <w:tc>
          <w:tcPr>
            <w:tcW w:w="914"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highlight w:val="none"/>
              </w:rPr>
            </w:pPr>
          </w:p>
        </w:tc>
        <w:tc>
          <w:tcPr>
            <w:tcW w:w="1243" w:type="dxa"/>
            <w:vAlign w:val="center"/>
          </w:tcPr>
          <w:p>
            <w:pPr>
              <w:spacing w:after="0"/>
              <w:jc w:val="center"/>
              <w:rPr>
                <w:rFonts w:ascii="宋体" w:hAnsi="宋体" w:eastAsia="宋体" w:cs="Times New Roman"/>
                <w:color w:val="auto"/>
                <w:sz w:val="21"/>
                <w:szCs w:val="21"/>
                <w:highlight w:val="none"/>
              </w:rPr>
            </w:pPr>
          </w:p>
        </w:tc>
        <w:tc>
          <w:tcPr>
            <w:tcW w:w="1132"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850" w:type="dxa"/>
            <w:vAlign w:val="center"/>
          </w:tcPr>
          <w:p>
            <w:pPr>
              <w:spacing w:after="0"/>
              <w:jc w:val="center"/>
              <w:rPr>
                <w:rFonts w:ascii="宋体" w:hAnsi="宋体" w:eastAsia="宋体" w:cs="Times New Roman"/>
                <w:color w:val="auto"/>
                <w:sz w:val="21"/>
                <w:szCs w:val="21"/>
                <w:highlight w:val="none"/>
              </w:rPr>
            </w:pPr>
          </w:p>
        </w:tc>
        <w:tc>
          <w:tcPr>
            <w:tcW w:w="1159" w:type="dxa"/>
            <w:vAlign w:val="center"/>
          </w:tcPr>
          <w:p>
            <w:pPr>
              <w:spacing w:after="0"/>
              <w:jc w:val="center"/>
              <w:rPr>
                <w:rFonts w:ascii="宋体" w:hAnsi="宋体" w:eastAsia="宋体" w:cs="Times New Roman"/>
                <w:color w:val="auto"/>
                <w:sz w:val="21"/>
                <w:szCs w:val="21"/>
                <w:highlight w:val="none"/>
              </w:rPr>
            </w:pPr>
          </w:p>
        </w:tc>
        <w:tc>
          <w:tcPr>
            <w:tcW w:w="914"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35"/>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35"/>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35"/>
        <w:ind w:firstLine="0" w:firstLineChars="0"/>
        <w:rPr>
          <w:rFonts w:ascii="宋体" w:hAnsi="宋体" w:eastAsia="宋体"/>
          <w:color w:val="auto"/>
          <w:sz w:val="21"/>
          <w:szCs w:val="21"/>
          <w:highlight w:val="none"/>
        </w:rPr>
      </w:pPr>
      <w:r>
        <w:rPr>
          <w:rFonts w:hint="eastAsia" w:ascii="宋体" w:hAnsi="宋体" w:eastAsia="宋体"/>
          <w:b/>
          <w:bCs/>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tabs>
          <w:tab w:val="left" w:pos="8286"/>
        </w:tabs>
        <w:overflowPunct w:val="0"/>
        <w:spacing w:before="0" w:after="0" w:line="240" w:lineRule="auto"/>
        <w:rPr>
          <w:rFonts w:ascii="楷体_GB2312" w:eastAsia="楷体_GB2312"/>
          <w:color w:val="auto"/>
          <w:sz w:val="24"/>
          <w:highlight w:val="none"/>
        </w:rPr>
      </w:pPr>
      <w:bookmarkStart w:id="294" w:name="_Toc10089"/>
      <w:bookmarkStart w:id="295" w:name="_Toc80603853"/>
      <w:r>
        <w:rPr>
          <w:rFonts w:hint="eastAsia" w:ascii="宋体" w:hAnsi="宋体"/>
          <w:color w:val="auto"/>
          <w:sz w:val="21"/>
          <w:szCs w:val="21"/>
          <w:highlight w:val="none"/>
        </w:rPr>
        <w:t>附件17.在经营活动中没有重大违法记录的书面声明格式</w:t>
      </w:r>
      <w:bookmarkEnd w:id="294"/>
      <w:bookmarkEnd w:id="2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三方诚信招标有限公司东莞分公司：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hAnsi="Cambria" w:eastAsia="楷体_GB2312"/>
          <w:b/>
          <w:bCs/>
          <w:color w:val="auto"/>
          <w:sz w:val="24"/>
          <w:szCs w:val="28"/>
          <w:highlight w:val="none"/>
        </w:rPr>
      </w:pPr>
      <w:bookmarkStart w:id="296" w:name="_Toc417907703"/>
      <w:r>
        <w:rPr>
          <w:rFonts w:ascii="楷体_GB2312" w:eastAsia="楷体_GB2312"/>
          <w:color w:val="auto"/>
          <w:sz w:val="24"/>
          <w:highlight w:val="none"/>
        </w:rPr>
        <w:br w:type="page"/>
      </w:r>
    </w:p>
    <w:p>
      <w:pPr>
        <w:pStyle w:val="5"/>
        <w:widowControl w:val="0"/>
        <w:tabs>
          <w:tab w:val="left" w:pos="8286"/>
        </w:tabs>
        <w:overflowPunct w:val="0"/>
        <w:spacing w:before="0" w:after="0" w:line="240" w:lineRule="auto"/>
        <w:rPr>
          <w:color w:val="auto"/>
          <w:highlight w:val="none"/>
        </w:rPr>
      </w:pPr>
      <w:bookmarkStart w:id="297" w:name="_Toc80603854"/>
      <w:bookmarkStart w:id="298" w:name="_Toc31483"/>
      <w:r>
        <w:rPr>
          <w:rFonts w:hint="eastAsia" w:ascii="宋体" w:hAnsi="宋体"/>
          <w:color w:val="auto"/>
          <w:sz w:val="21"/>
          <w:szCs w:val="21"/>
          <w:highlight w:val="none"/>
        </w:rPr>
        <w:t>附件18. 中小企业声明函（投标人为中小企业时适用）</w:t>
      </w:r>
      <w:bookmarkEnd w:id="296"/>
      <w:bookmarkEnd w:id="297"/>
      <w:bookmarkEnd w:id="298"/>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w:t>
      </w:r>
      <w:r>
        <w:rPr>
          <w:rFonts w:hint="eastAsia" w:ascii="宋体" w:hAnsi="宋体" w:eastAsia="宋体" w:cs="宋体"/>
          <w:color w:val="auto"/>
          <w:sz w:val="21"/>
          <w:szCs w:val="21"/>
          <w:highlight w:val="none"/>
          <w:u w:val="single"/>
        </w:rPr>
        <w:t>（含联合体中的中小企业、签订分包意向协议的中小企业）</w:t>
      </w:r>
      <w:r>
        <w:rPr>
          <w:rFonts w:hint="eastAsia" w:ascii="宋体" w:hAnsi="宋体" w:eastAsia="宋体" w:cs="宋体"/>
          <w:color w:val="auto"/>
          <w:sz w:val="21"/>
          <w:szCs w:val="21"/>
          <w:highlight w:val="none"/>
        </w:rPr>
        <w:t>的具体情况如下：</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 xml:space="preserve">    1.</w:t>
      </w:r>
      <w:r>
        <w:rPr>
          <w:rFonts w:hint="eastAsia"/>
          <w:color w:val="auto"/>
          <w:sz w:val="21"/>
          <w:szCs w:val="21"/>
          <w:highlight w:val="none"/>
          <w:u w:val="single"/>
          <w:lang w:val="en-US"/>
        </w:rPr>
        <w:t>（标的名称）</w:t>
      </w:r>
      <w:r>
        <w:rPr>
          <w:rFonts w:hint="eastAsia"/>
          <w:color w:val="auto"/>
          <w:sz w:val="21"/>
          <w:szCs w:val="21"/>
          <w:highlight w:val="none"/>
          <w:lang w:val="en-US"/>
        </w:rPr>
        <w:t>，属于</w:t>
      </w:r>
      <w:r>
        <w:rPr>
          <w:rFonts w:hint="eastAsia"/>
          <w:color w:val="auto"/>
          <w:sz w:val="21"/>
          <w:szCs w:val="21"/>
          <w:highlight w:val="none"/>
          <w:u w:val="single"/>
          <w:lang w:val="en-US"/>
        </w:rPr>
        <w:t>（采购文件中明确的所属行业）行业</w:t>
      </w:r>
      <w:r>
        <w:rPr>
          <w:rFonts w:hint="eastAsia"/>
          <w:color w:val="auto"/>
          <w:sz w:val="21"/>
          <w:szCs w:val="21"/>
          <w:highlight w:val="none"/>
          <w:lang w:val="en-US"/>
        </w:rPr>
        <w:t>；制造商为</w:t>
      </w:r>
      <w:r>
        <w:rPr>
          <w:rFonts w:hint="eastAsia"/>
          <w:color w:val="auto"/>
          <w:sz w:val="21"/>
          <w:szCs w:val="21"/>
          <w:highlight w:val="none"/>
          <w:u w:val="single"/>
          <w:lang w:val="en-US"/>
        </w:rPr>
        <w:t>（企业名称）</w:t>
      </w:r>
      <w:r>
        <w:rPr>
          <w:rFonts w:hint="eastAsia"/>
          <w:color w:val="auto"/>
          <w:sz w:val="21"/>
          <w:szCs w:val="21"/>
          <w:highlight w:val="none"/>
          <w:lang w:val="en-US"/>
        </w:rPr>
        <w:t>，从业人员_______人，营业收入为_______万元，资产总额为______万元</w:t>
      </w:r>
      <w:r>
        <w:rPr>
          <w:rStyle w:val="30"/>
          <w:rFonts w:hint="eastAsia"/>
          <w:color w:val="auto"/>
          <w:sz w:val="21"/>
          <w:szCs w:val="21"/>
          <w:highlight w:val="none"/>
          <w:lang w:val="en-US"/>
        </w:rPr>
        <w:footnoteReference w:id="0"/>
      </w:r>
      <w:r>
        <w:rPr>
          <w:rFonts w:hint="eastAsia"/>
          <w:color w:val="auto"/>
          <w:sz w:val="21"/>
          <w:szCs w:val="21"/>
          <w:highlight w:val="none"/>
          <w:lang w:val="en-US"/>
        </w:rPr>
        <w:t>，属于</w:t>
      </w:r>
      <w:r>
        <w:rPr>
          <w:rFonts w:hint="eastAsia"/>
          <w:color w:val="auto"/>
          <w:sz w:val="21"/>
          <w:szCs w:val="21"/>
          <w:highlight w:val="none"/>
          <w:u w:val="single"/>
          <w:lang w:val="en-US"/>
        </w:rPr>
        <w:t>（中型企业、小型企业、微型企业）</w:t>
      </w:r>
      <w:r>
        <w:rPr>
          <w:rFonts w:hint="eastAsia"/>
          <w:color w:val="auto"/>
          <w:sz w:val="21"/>
          <w:szCs w:val="21"/>
          <w:highlight w:val="none"/>
          <w:lang w:val="en-US"/>
        </w:rPr>
        <w:t>；</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 xml:space="preserve">    2.</w:t>
      </w:r>
      <w:r>
        <w:rPr>
          <w:rFonts w:hint="eastAsia"/>
          <w:color w:val="auto"/>
          <w:sz w:val="21"/>
          <w:szCs w:val="21"/>
          <w:highlight w:val="none"/>
          <w:u w:val="single"/>
          <w:lang w:val="en-US"/>
        </w:rPr>
        <w:t>（标的名称）</w:t>
      </w:r>
      <w:r>
        <w:rPr>
          <w:rFonts w:hint="eastAsia"/>
          <w:color w:val="auto"/>
          <w:sz w:val="21"/>
          <w:szCs w:val="21"/>
          <w:highlight w:val="none"/>
          <w:lang w:val="en-US"/>
        </w:rPr>
        <w:t>，属于</w:t>
      </w:r>
      <w:r>
        <w:rPr>
          <w:rFonts w:hint="eastAsia"/>
          <w:color w:val="auto"/>
          <w:sz w:val="21"/>
          <w:szCs w:val="21"/>
          <w:highlight w:val="none"/>
          <w:u w:val="single"/>
          <w:lang w:val="en-US"/>
        </w:rPr>
        <w:t>（采购文件中明确的所属行业）行业</w:t>
      </w:r>
      <w:r>
        <w:rPr>
          <w:rFonts w:hint="eastAsia"/>
          <w:color w:val="auto"/>
          <w:sz w:val="21"/>
          <w:szCs w:val="21"/>
          <w:highlight w:val="none"/>
          <w:lang w:val="en-US"/>
        </w:rPr>
        <w:t>；制造商为</w:t>
      </w:r>
      <w:r>
        <w:rPr>
          <w:rFonts w:hint="eastAsia"/>
          <w:color w:val="auto"/>
          <w:sz w:val="21"/>
          <w:szCs w:val="21"/>
          <w:highlight w:val="none"/>
          <w:u w:val="single"/>
          <w:lang w:val="en-US"/>
        </w:rPr>
        <w:t>（企业名称）</w:t>
      </w:r>
      <w:r>
        <w:rPr>
          <w:rFonts w:hint="eastAsia"/>
          <w:color w:val="auto"/>
          <w:sz w:val="21"/>
          <w:szCs w:val="21"/>
          <w:highlight w:val="none"/>
          <w:lang w:val="en-US"/>
        </w:rPr>
        <w:t>，从业人员_______人，营业收入为_______万元，资产总额为______万元，属于</w:t>
      </w:r>
      <w:r>
        <w:rPr>
          <w:rFonts w:hint="eastAsia"/>
          <w:color w:val="auto"/>
          <w:sz w:val="21"/>
          <w:szCs w:val="21"/>
          <w:highlight w:val="none"/>
          <w:u w:val="single"/>
          <w:lang w:val="en-US"/>
        </w:rPr>
        <w:t>（中型企业、小型企业、微型企业）</w:t>
      </w:r>
      <w:r>
        <w:rPr>
          <w:rFonts w:hint="eastAsia"/>
          <w:color w:val="auto"/>
          <w:sz w:val="21"/>
          <w:szCs w:val="21"/>
          <w:highlight w:val="none"/>
          <w:lang w:val="en-US"/>
        </w:rPr>
        <w:t>；</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以上企业，不属于大企业的分支机构，不存在控股股东为大企业的情形，也不存在与大企业的负责人为同一人的情形。</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本企业对上诉声明内容的真实性负责。如有虚假，将依法承担相应责任。</w:t>
      </w:r>
    </w:p>
    <w:p>
      <w:pPr>
        <w:pStyle w:val="9"/>
        <w:wordWrap w:val="0"/>
        <w:spacing w:line="360" w:lineRule="auto"/>
        <w:ind w:left="0" w:firstLine="480"/>
        <w:jc w:val="right"/>
        <w:rPr>
          <w:color w:val="auto"/>
          <w:sz w:val="21"/>
          <w:szCs w:val="21"/>
          <w:highlight w:val="none"/>
          <w:lang w:val="en-US"/>
        </w:rPr>
      </w:pPr>
      <w:r>
        <w:rPr>
          <w:rFonts w:hint="eastAsia"/>
          <w:color w:val="auto"/>
          <w:sz w:val="21"/>
          <w:szCs w:val="21"/>
          <w:highlight w:val="none"/>
          <w:lang w:val="en-US"/>
        </w:rPr>
        <w:t xml:space="preserve">    </w:t>
      </w:r>
    </w:p>
    <w:p>
      <w:pPr>
        <w:pStyle w:val="9"/>
        <w:spacing w:line="360" w:lineRule="auto"/>
        <w:ind w:firstLine="4830" w:firstLineChars="2300"/>
        <w:jc w:val="both"/>
        <w:rPr>
          <w:color w:val="auto"/>
          <w:sz w:val="21"/>
          <w:szCs w:val="21"/>
          <w:highlight w:val="none"/>
          <w:lang w:val="en-US"/>
        </w:rPr>
      </w:pPr>
      <w:r>
        <w:rPr>
          <w:rFonts w:hint="eastAsia"/>
          <w:color w:val="auto"/>
          <w:sz w:val="21"/>
          <w:szCs w:val="21"/>
          <w:highlight w:val="none"/>
          <w:lang w:val="en-US"/>
        </w:rPr>
        <w:t>企业名称（盖章）：</w:t>
      </w:r>
    </w:p>
    <w:p>
      <w:pPr>
        <w:pStyle w:val="9"/>
        <w:spacing w:line="360" w:lineRule="auto"/>
        <w:ind w:left="0" w:firstLine="480"/>
        <w:jc w:val="center"/>
        <w:rPr>
          <w:color w:val="auto"/>
          <w:highlight w:val="none"/>
          <w:lang w:val="en-US"/>
        </w:rPr>
      </w:pPr>
      <w:r>
        <w:rPr>
          <w:rFonts w:hint="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宋体" w:hAnsi="宋体" w:eastAsia="宋体" w:cs="宋体"/>
          <w:color w:val="auto"/>
          <w:sz w:val="21"/>
          <w:szCs w:val="21"/>
          <w:highlight w:val="none"/>
        </w:rPr>
      </w:pPr>
      <w:r>
        <w:rPr>
          <w:rFonts w:hint="eastAsia" w:eastAsia="宋体"/>
          <w:color w:val="auto"/>
          <w:highlight w:val="none"/>
        </w:rPr>
        <w:t xml:space="preserve">     </w:t>
      </w: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 xml:space="preserve">    1.</w:t>
      </w:r>
      <w:r>
        <w:rPr>
          <w:rFonts w:hint="eastAsia"/>
          <w:color w:val="auto"/>
          <w:sz w:val="21"/>
          <w:szCs w:val="21"/>
          <w:highlight w:val="none"/>
          <w:u w:val="single"/>
          <w:lang w:val="en-US"/>
        </w:rPr>
        <w:t>（标的名称）</w:t>
      </w:r>
      <w:r>
        <w:rPr>
          <w:rFonts w:hint="eastAsia"/>
          <w:color w:val="auto"/>
          <w:sz w:val="21"/>
          <w:szCs w:val="21"/>
          <w:highlight w:val="none"/>
          <w:lang w:val="en-US"/>
        </w:rPr>
        <w:t>，属于</w:t>
      </w:r>
      <w:r>
        <w:rPr>
          <w:rFonts w:hint="eastAsia"/>
          <w:color w:val="auto"/>
          <w:sz w:val="21"/>
          <w:szCs w:val="21"/>
          <w:highlight w:val="none"/>
          <w:u w:val="single"/>
          <w:lang w:val="en-US"/>
        </w:rPr>
        <w:t>（采购文件中明确的所属行业）行业</w:t>
      </w:r>
      <w:r>
        <w:rPr>
          <w:rFonts w:hint="eastAsia"/>
          <w:color w:val="auto"/>
          <w:sz w:val="21"/>
          <w:szCs w:val="21"/>
          <w:highlight w:val="none"/>
          <w:lang w:val="en-US"/>
        </w:rPr>
        <w:t>；承建（承接）企业为</w:t>
      </w:r>
      <w:r>
        <w:rPr>
          <w:rFonts w:hint="eastAsia"/>
          <w:color w:val="auto"/>
          <w:sz w:val="21"/>
          <w:szCs w:val="21"/>
          <w:highlight w:val="none"/>
          <w:u w:val="single"/>
          <w:lang w:val="en-US"/>
        </w:rPr>
        <w:t>（企业名称）</w:t>
      </w:r>
      <w:r>
        <w:rPr>
          <w:rFonts w:hint="eastAsia"/>
          <w:color w:val="auto"/>
          <w:sz w:val="21"/>
          <w:szCs w:val="21"/>
          <w:highlight w:val="none"/>
          <w:lang w:val="en-US"/>
        </w:rPr>
        <w:t>，从业人员_______人，营业收入为_______万元，资产总额为______万元</w:t>
      </w:r>
      <w:r>
        <w:rPr>
          <w:rStyle w:val="30"/>
          <w:rFonts w:hint="eastAsia"/>
          <w:color w:val="auto"/>
          <w:sz w:val="21"/>
          <w:szCs w:val="21"/>
          <w:highlight w:val="none"/>
          <w:lang w:val="en-US"/>
        </w:rPr>
        <w:footnoteReference w:id="1"/>
      </w:r>
      <w:r>
        <w:rPr>
          <w:rFonts w:hint="eastAsia"/>
          <w:color w:val="auto"/>
          <w:sz w:val="21"/>
          <w:szCs w:val="21"/>
          <w:highlight w:val="none"/>
          <w:lang w:val="en-US"/>
        </w:rPr>
        <w:t>，属于</w:t>
      </w:r>
      <w:r>
        <w:rPr>
          <w:rFonts w:hint="eastAsia"/>
          <w:color w:val="auto"/>
          <w:sz w:val="21"/>
          <w:szCs w:val="21"/>
          <w:highlight w:val="none"/>
          <w:u w:val="single"/>
          <w:lang w:val="en-US"/>
        </w:rPr>
        <w:t>（中型企业、小型企业、微型企业）</w:t>
      </w:r>
      <w:r>
        <w:rPr>
          <w:rFonts w:hint="eastAsia"/>
          <w:color w:val="auto"/>
          <w:sz w:val="21"/>
          <w:szCs w:val="21"/>
          <w:highlight w:val="none"/>
          <w:lang w:val="en-US"/>
        </w:rPr>
        <w:t>；</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 xml:space="preserve">    2.</w:t>
      </w:r>
      <w:r>
        <w:rPr>
          <w:rFonts w:hint="eastAsia"/>
          <w:color w:val="auto"/>
          <w:sz w:val="21"/>
          <w:szCs w:val="21"/>
          <w:highlight w:val="none"/>
          <w:u w:val="single"/>
          <w:lang w:val="en-US"/>
        </w:rPr>
        <w:t>（标的名称）</w:t>
      </w:r>
      <w:r>
        <w:rPr>
          <w:rFonts w:hint="eastAsia"/>
          <w:color w:val="auto"/>
          <w:sz w:val="21"/>
          <w:szCs w:val="21"/>
          <w:highlight w:val="none"/>
          <w:lang w:val="en-US"/>
        </w:rPr>
        <w:t>，属于</w:t>
      </w:r>
      <w:r>
        <w:rPr>
          <w:rFonts w:hint="eastAsia"/>
          <w:color w:val="auto"/>
          <w:sz w:val="21"/>
          <w:szCs w:val="21"/>
          <w:highlight w:val="none"/>
          <w:u w:val="single"/>
          <w:lang w:val="en-US"/>
        </w:rPr>
        <w:t>（采购文件中明确的所属行业）行业</w:t>
      </w:r>
      <w:r>
        <w:rPr>
          <w:rFonts w:hint="eastAsia"/>
          <w:color w:val="auto"/>
          <w:sz w:val="21"/>
          <w:szCs w:val="21"/>
          <w:highlight w:val="none"/>
          <w:lang w:val="en-US"/>
        </w:rPr>
        <w:t>；承建（承接）企业为</w:t>
      </w:r>
      <w:r>
        <w:rPr>
          <w:rFonts w:hint="eastAsia"/>
          <w:color w:val="auto"/>
          <w:sz w:val="21"/>
          <w:szCs w:val="21"/>
          <w:highlight w:val="none"/>
          <w:u w:val="single"/>
          <w:lang w:val="en-US"/>
        </w:rPr>
        <w:t>（企业名称）</w:t>
      </w:r>
      <w:r>
        <w:rPr>
          <w:rFonts w:hint="eastAsia"/>
          <w:color w:val="auto"/>
          <w:sz w:val="21"/>
          <w:szCs w:val="21"/>
          <w:highlight w:val="none"/>
          <w:lang w:val="en-US"/>
        </w:rPr>
        <w:t>，从业人员_______人，营业收入为_______万元，资产总额为______万元，属于</w:t>
      </w:r>
      <w:r>
        <w:rPr>
          <w:rFonts w:hint="eastAsia"/>
          <w:color w:val="auto"/>
          <w:sz w:val="21"/>
          <w:szCs w:val="21"/>
          <w:highlight w:val="none"/>
          <w:u w:val="single"/>
          <w:lang w:val="en-US"/>
        </w:rPr>
        <w:t>（中型企业、小型企业、微型企业）</w:t>
      </w:r>
      <w:r>
        <w:rPr>
          <w:rFonts w:hint="eastAsia"/>
          <w:color w:val="auto"/>
          <w:sz w:val="21"/>
          <w:szCs w:val="21"/>
          <w:highlight w:val="none"/>
          <w:lang w:val="en-US"/>
        </w:rPr>
        <w:t>；</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以上企业，不属于大企业的分支机构，不存在控股股东为大企业的情形，也不存在与大企业的负责人为同一人的情形。</w:t>
      </w:r>
    </w:p>
    <w:p>
      <w:pPr>
        <w:pStyle w:val="9"/>
        <w:spacing w:line="360" w:lineRule="auto"/>
        <w:ind w:left="0" w:firstLine="210" w:firstLineChars="100"/>
        <w:rPr>
          <w:color w:val="auto"/>
          <w:sz w:val="21"/>
          <w:szCs w:val="21"/>
          <w:highlight w:val="none"/>
          <w:lang w:val="en-US"/>
        </w:rPr>
      </w:pPr>
      <w:r>
        <w:rPr>
          <w:rFonts w:hint="eastAsia"/>
          <w:color w:val="auto"/>
          <w:sz w:val="21"/>
          <w:szCs w:val="21"/>
          <w:highlight w:val="none"/>
          <w:lang w:val="en-US"/>
        </w:rPr>
        <w:t>本企业对上诉声明内容的真实性负责。如有虚假，将依法承担相应责任。</w:t>
      </w:r>
    </w:p>
    <w:p>
      <w:pPr>
        <w:pStyle w:val="9"/>
        <w:spacing w:line="360" w:lineRule="auto"/>
        <w:ind w:left="0" w:firstLine="480"/>
        <w:rPr>
          <w:color w:val="auto"/>
          <w:sz w:val="21"/>
          <w:szCs w:val="21"/>
          <w:highlight w:val="none"/>
          <w:lang w:val="en-US"/>
        </w:rPr>
      </w:pPr>
      <w:r>
        <w:rPr>
          <w:rFonts w:hint="eastAsia"/>
          <w:color w:val="auto"/>
          <w:sz w:val="21"/>
          <w:szCs w:val="21"/>
          <w:highlight w:val="none"/>
          <w:lang w:val="en-US"/>
        </w:rPr>
        <w:t xml:space="preserve">    </w:t>
      </w:r>
    </w:p>
    <w:p>
      <w:pPr>
        <w:pStyle w:val="9"/>
        <w:spacing w:line="360" w:lineRule="auto"/>
        <w:ind w:firstLine="4830" w:firstLineChars="2300"/>
        <w:jc w:val="both"/>
        <w:rPr>
          <w:color w:val="auto"/>
          <w:sz w:val="21"/>
          <w:szCs w:val="21"/>
          <w:highlight w:val="none"/>
          <w:lang w:val="en-US"/>
        </w:rPr>
      </w:pPr>
      <w:r>
        <w:rPr>
          <w:rFonts w:hint="eastAsia"/>
          <w:color w:val="auto"/>
          <w:sz w:val="21"/>
          <w:szCs w:val="21"/>
          <w:highlight w:val="none"/>
          <w:lang w:val="en-US"/>
        </w:rPr>
        <w:t>企业名称（盖章）：</w:t>
      </w:r>
    </w:p>
    <w:p>
      <w:pPr>
        <w:pStyle w:val="9"/>
        <w:spacing w:line="360" w:lineRule="auto"/>
        <w:ind w:left="0" w:firstLine="480"/>
        <w:jc w:val="center"/>
        <w:rPr>
          <w:color w:val="auto"/>
          <w:highlight w:val="none"/>
          <w:lang w:val="en-US"/>
        </w:rPr>
      </w:pPr>
      <w:r>
        <w:rPr>
          <w:rFonts w:hint="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2、若投标人不属于规定的中小企业范围，或提供的产品不是中小企业制造的，则无需提供此表。中小企业划分标准可查阅《关于印发中小企业划型标准规定的通知》（工信部联企业〔2011〕300号）</w:t>
      </w:r>
    </w:p>
    <w:p>
      <w:pPr>
        <w:pStyle w:val="9"/>
        <w:spacing w:line="360" w:lineRule="auto"/>
        <w:ind w:left="0" w:firstLine="420" w:firstLineChars="200"/>
        <w:rPr>
          <w:rFonts w:cs="黑体"/>
          <w:color w:val="auto"/>
          <w:sz w:val="21"/>
          <w:szCs w:val="21"/>
          <w:highlight w:val="none"/>
          <w:lang w:val="en-US" w:bidi="ar-SA"/>
        </w:rPr>
      </w:pPr>
      <w:r>
        <w:rPr>
          <w:rFonts w:hint="eastAsia" w:cs="黑体"/>
          <w:color w:val="auto"/>
          <w:sz w:val="21"/>
          <w:szCs w:val="21"/>
          <w:highlight w:val="none"/>
          <w:lang w:val="en-US" w:bidi="ar-SA"/>
        </w:rPr>
        <w:t>3、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hAnsi="Cambria" w:eastAsia="楷体_GB2312"/>
          <w:b/>
          <w:bCs/>
          <w:color w:val="auto"/>
          <w:sz w:val="24"/>
          <w:szCs w:val="28"/>
          <w:highlight w:val="none"/>
        </w:rPr>
      </w:pPr>
      <w:r>
        <w:rPr>
          <w:rFonts w:ascii="楷体_GB2312" w:eastAsia="楷体_GB2312"/>
          <w:color w:val="auto"/>
          <w:sz w:val="24"/>
          <w:highlight w:val="none"/>
        </w:rPr>
        <w:br w:type="page"/>
      </w:r>
    </w:p>
    <w:p>
      <w:pPr>
        <w:pStyle w:val="5"/>
        <w:widowControl w:val="0"/>
        <w:tabs>
          <w:tab w:val="left" w:pos="8286"/>
        </w:tabs>
        <w:overflowPunct w:val="0"/>
        <w:spacing w:before="0" w:after="0" w:line="240" w:lineRule="auto"/>
        <w:rPr>
          <w:rFonts w:ascii="楷体_GB2312" w:eastAsia="楷体_GB2312"/>
          <w:color w:val="auto"/>
          <w:sz w:val="24"/>
          <w:highlight w:val="none"/>
        </w:rPr>
      </w:pPr>
      <w:bookmarkStart w:id="299" w:name="_Toc80603855"/>
      <w:bookmarkStart w:id="300" w:name="_Toc22867"/>
      <w:r>
        <w:rPr>
          <w:rFonts w:hint="eastAsia" w:ascii="宋体" w:hAnsi="宋体"/>
          <w:color w:val="auto"/>
          <w:sz w:val="21"/>
          <w:szCs w:val="21"/>
          <w:highlight w:val="none"/>
        </w:rPr>
        <w:t>附件19.《残疾人福利性单位声明函》（残疾人福利性单位适用）</w:t>
      </w:r>
      <w:bookmarkEnd w:id="299"/>
      <w:bookmarkEnd w:id="300"/>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301" w:name="_Toc508958703"/>
      <w:bookmarkStart w:id="302" w:name="_Toc508960153"/>
      <w:bookmarkStart w:id="303" w:name="_Toc22970"/>
      <w:bookmarkStart w:id="304" w:name="_Toc17761"/>
      <w:bookmarkStart w:id="305" w:name="_Toc30247"/>
      <w:bookmarkStart w:id="306" w:name="_Toc509844825"/>
      <w:bookmarkStart w:id="307" w:name="_Toc509479530"/>
      <w:bookmarkStart w:id="308" w:name="_Toc510171693"/>
      <w:bookmarkStart w:id="309" w:name="_Toc30277"/>
      <w:bookmarkStart w:id="310" w:name="_Toc20910"/>
      <w:bookmarkStart w:id="311" w:name="_Toc509927455"/>
      <w:bookmarkStart w:id="312" w:name="_Toc508898066"/>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301"/>
      <w:bookmarkEnd w:id="302"/>
      <w:bookmarkEnd w:id="303"/>
      <w:bookmarkEnd w:id="304"/>
      <w:bookmarkEnd w:id="305"/>
      <w:bookmarkEnd w:id="306"/>
      <w:bookmarkEnd w:id="307"/>
      <w:bookmarkEnd w:id="308"/>
      <w:bookmarkEnd w:id="309"/>
      <w:bookmarkEnd w:id="310"/>
      <w:bookmarkEnd w:id="311"/>
      <w:bookmarkEnd w:id="312"/>
    </w:p>
    <w:p>
      <w:pPr>
        <w:pStyle w:val="9"/>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313" w:name="_Toc21053"/>
      <w:bookmarkStart w:id="314" w:name="_Toc510171694"/>
      <w:bookmarkStart w:id="315" w:name="_Toc508898067"/>
      <w:bookmarkStart w:id="316" w:name="_Toc508960154"/>
      <w:bookmarkStart w:id="317" w:name="_Toc31520"/>
      <w:bookmarkStart w:id="318" w:name="_Toc28527"/>
      <w:bookmarkStart w:id="319" w:name="_Toc26216"/>
      <w:bookmarkStart w:id="320" w:name="_Toc5447"/>
      <w:bookmarkStart w:id="321" w:name="_Toc509927456"/>
      <w:bookmarkStart w:id="322" w:name="_Toc509479531"/>
      <w:bookmarkStart w:id="323" w:name="_Toc509844826"/>
      <w:bookmarkStart w:id="324" w:name="_Toc508958704"/>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313"/>
      <w:bookmarkEnd w:id="314"/>
      <w:bookmarkEnd w:id="315"/>
      <w:bookmarkEnd w:id="316"/>
      <w:bookmarkEnd w:id="317"/>
      <w:bookmarkEnd w:id="318"/>
      <w:bookmarkEnd w:id="319"/>
      <w:bookmarkEnd w:id="320"/>
      <w:bookmarkEnd w:id="321"/>
      <w:bookmarkEnd w:id="322"/>
      <w:bookmarkEnd w:id="323"/>
      <w:bookmarkEnd w:id="324"/>
    </w:p>
    <w:p>
      <w:pPr>
        <w:spacing w:after="0" w:line="480" w:lineRule="auto"/>
        <w:ind w:firstLine="420" w:firstLineChars="200"/>
        <w:rPr>
          <w:rFonts w:ascii="宋体" w:hAnsi="宋体" w:eastAsia="宋体"/>
          <w:color w:val="auto"/>
          <w:sz w:val="21"/>
          <w:szCs w:val="21"/>
          <w:highlight w:val="none"/>
        </w:rPr>
      </w:pPr>
      <w:bookmarkStart w:id="325" w:name="_Toc509927457"/>
      <w:bookmarkStart w:id="326" w:name="_Toc24848"/>
      <w:bookmarkStart w:id="327" w:name="_Toc28126"/>
      <w:bookmarkStart w:id="328" w:name="_Toc9148"/>
      <w:bookmarkStart w:id="329" w:name="_Toc510171695"/>
      <w:bookmarkStart w:id="330" w:name="_Toc509479532"/>
      <w:bookmarkStart w:id="331" w:name="_Toc508958705"/>
      <w:bookmarkStart w:id="332" w:name="_Toc28626"/>
      <w:bookmarkStart w:id="333" w:name="_Toc14653"/>
      <w:bookmarkStart w:id="334" w:name="_Toc509844827"/>
      <w:bookmarkStart w:id="335" w:name="_Toc508898068"/>
      <w:bookmarkStart w:id="336" w:name="_Toc50896015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325"/>
      <w:bookmarkEnd w:id="326"/>
      <w:bookmarkEnd w:id="327"/>
      <w:bookmarkEnd w:id="328"/>
      <w:bookmarkEnd w:id="329"/>
      <w:bookmarkEnd w:id="330"/>
      <w:bookmarkEnd w:id="331"/>
      <w:bookmarkEnd w:id="332"/>
      <w:bookmarkEnd w:id="333"/>
      <w:bookmarkEnd w:id="334"/>
      <w:bookmarkEnd w:id="335"/>
      <w:bookmarkEnd w:id="336"/>
    </w:p>
    <w:p>
      <w:pPr>
        <w:spacing w:after="0" w:line="480" w:lineRule="auto"/>
        <w:ind w:firstLine="420" w:firstLineChars="200"/>
        <w:rPr>
          <w:rFonts w:ascii="宋体" w:hAnsi="宋体" w:eastAsia="宋体"/>
          <w:color w:val="auto"/>
          <w:sz w:val="21"/>
          <w:szCs w:val="21"/>
          <w:highlight w:val="none"/>
        </w:rPr>
      </w:pPr>
      <w:bookmarkStart w:id="337" w:name="_Toc22981"/>
      <w:bookmarkStart w:id="338" w:name="_Toc508898069"/>
      <w:bookmarkStart w:id="339" w:name="_Toc28044"/>
      <w:bookmarkStart w:id="340" w:name="_Toc28686"/>
      <w:bookmarkStart w:id="341" w:name="_Toc509927458"/>
      <w:bookmarkStart w:id="342" w:name="_Toc510171696"/>
      <w:bookmarkStart w:id="343" w:name="_Toc509479533"/>
      <w:bookmarkStart w:id="344" w:name="_Toc508960156"/>
      <w:bookmarkStart w:id="345" w:name="_Toc9837"/>
      <w:bookmarkStart w:id="346" w:name="_Toc7858"/>
      <w:bookmarkStart w:id="347" w:name="_Toc508958706"/>
      <w:bookmarkStart w:id="348" w:name="_Toc50984482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337"/>
      <w:bookmarkEnd w:id="338"/>
      <w:bookmarkEnd w:id="339"/>
      <w:bookmarkEnd w:id="340"/>
      <w:bookmarkEnd w:id="341"/>
      <w:bookmarkEnd w:id="342"/>
      <w:bookmarkEnd w:id="343"/>
      <w:bookmarkEnd w:id="344"/>
      <w:bookmarkEnd w:id="345"/>
      <w:bookmarkEnd w:id="346"/>
      <w:bookmarkEnd w:id="347"/>
      <w:bookmarkEnd w:id="348"/>
    </w:p>
    <w:p>
      <w:pPr>
        <w:spacing w:after="0" w:line="480" w:lineRule="auto"/>
        <w:ind w:firstLine="420" w:firstLineChars="200"/>
        <w:rPr>
          <w:rFonts w:ascii="宋体" w:hAnsi="宋体" w:eastAsia="宋体"/>
          <w:color w:val="auto"/>
          <w:sz w:val="21"/>
          <w:szCs w:val="21"/>
          <w:highlight w:val="none"/>
        </w:rPr>
      </w:pPr>
      <w:bookmarkStart w:id="349" w:name="_Toc5289"/>
      <w:bookmarkStart w:id="350" w:name="_Toc510171697"/>
      <w:bookmarkStart w:id="351" w:name="_Toc508958707"/>
      <w:bookmarkStart w:id="352" w:name="_Toc509927459"/>
      <w:bookmarkStart w:id="353" w:name="_Toc508898070"/>
      <w:bookmarkStart w:id="354" w:name="_Toc509844829"/>
      <w:bookmarkStart w:id="355" w:name="_Toc509479534"/>
      <w:bookmarkStart w:id="356" w:name="_Toc18843"/>
      <w:bookmarkStart w:id="357" w:name="_Toc50896015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349"/>
      <w:bookmarkEnd w:id="350"/>
      <w:bookmarkEnd w:id="351"/>
      <w:bookmarkEnd w:id="352"/>
      <w:bookmarkEnd w:id="353"/>
      <w:bookmarkEnd w:id="354"/>
      <w:bookmarkEnd w:id="355"/>
      <w:bookmarkEnd w:id="356"/>
      <w:bookmarkEnd w:id="357"/>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tabs>
          <w:tab w:val="left" w:pos="8286"/>
        </w:tabs>
        <w:overflowPunct w:val="0"/>
        <w:spacing w:before="0" w:after="0" w:line="240" w:lineRule="auto"/>
        <w:rPr>
          <w:color w:val="auto"/>
          <w:highlight w:val="none"/>
        </w:rPr>
      </w:pPr>
      <w:bookmarkStart w:id="358" w:name="_Toc80603856"/>
      <w:bookmarkStart w:id="359" w:name="_Toc8662"/>
      <w:r>
        <w:rPr>
          <w:rFonts w:hint="eastAsia" w:ascii="宋体" w:hAnsi="宋体"/>
          <w:color w:val="auto"/>
          <w:sz w:val="21"/>
          <w:szCs w:val="21"/>
          <w:highlight w:val="none"/>
        </w:rPr>
        <w:t>附件20. 投标保证金汇入情况说明格式</w:t>
      </w:r>
      <w:bookmarkEnd w:id="358"/>
      <w:bookmarkEnd w:id="35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致：三方诚信招标有限公司东莞分公司：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包（采购项目编号：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）的招标文件要求，于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3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tabs>
          <w:tab w:val="left" w:pos="8286"/>
        </w:tabs>
        <w:spacing w:before="0" w:after="0" w:line="240" w:lineRule="auto"/>
        <w:rPr>
          <w:rFonts w:ascii="宋体" w:hAnsi="宋体" w:cs="宋体"/>
          <w:color w:val="auto"/>
          <w:sz w:val="21"/>
          <w:szCs w:val="21"/>
          <w:highlight w:val="none"/>
        </w:rPr>
      </w:pPr>
      <w:bookmarkStart w:id="360" w:name="_Toc80603857"/>
      <w:bookmarkStart w:id="361" w:name="_Toc4506"/>
      <w:r>
        <w:rPr>
          <w:rFonts w:hint="eastAsia" w:ascii="宋体" w:hAnsi="宋体" w:cs="宋体"/>
          <w:color w:val="auto"/>
          <w:sz w:val="21"/>
          <w:szCs w:val="21"/>
          <w:highlight w:val="none"/>
        </w:rPr>
        <w:t>附件21.获取招标文件登记表</w:t>
      </w:r>
      <w:bookmarkEnd w:id="360"/>
      <w:bookmarkEnd w:id="361"/>
    </w:p>
    <w:p>
      <w:pPr>
        <w:pStyle w:val="3"/>
        <w:spacing w:before="0" w:after="0" w:line="240" w:lineRule="auto"/>
        <w:jc w:val="center"/>
        <w:rPr>
          <w:rFonts w:ascii="黑体" w:hAnsi="宋体"/>
          <w:color w:val="auto"/>
          <w:sz w:val="44"/>
          <w:szCs w:val="44"/>
          <w:highlight w:val="none"/>
        </w:rPr>
      </w:pPr>
      <w:bookmarkStart w:id="362" w:name="_Toc1968"/>
    </w:p>
    <w:p>
      <w:pPr>
        <w:spacing w:after="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获取招标文件登记表</w:t>
      </w:r>
      <w:bookmarkEnd w:id="362"/>
    </w:p>
    <w:tbl>
      <w:tblPr>
        <w:tblStyle w:val="32"/>
        <w:tblW w:w="85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项目包号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人民币200元/份</w:t>
            </w:r>
          </w:p>
        </w:tc>
      </w:tr>
    </w:tbl>
    <w:p>
      <w:pPr>
        <w:pStyle w:val="9"/>
        <w:ind w:left="0" w:leftChars="0" w:firstLine="0" w:firstLineChars="0"/>
        <w:rPr>
          <w:color w:val="auto"/>
          <w:highlight w:val="none"/>
        </w:rPr>
      </w:pPr>
    </w:p>
    <w:sectPr>
      <w:headerReference r:id="rId7" w:type="first"/>
      <w:footerReference r:id="rId9" w:type="first"/>
      <w:headerReference r:id="rId6" w:type="default"/>
      <w:footerReference r:id="rId8" w:type="default"/>
      <w:pgSz w:w="11906" w:h="16838"/>
      <w:pgMar w:top="1440" w:right="1800" w:bottom="1440" w:left="1800" w:header="708" w:footer="708" w:gutter="0"/>
      <w:pgNumType w:fmt="decimal" w:start="1"/>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00"/>
    <w:family w:val="auto"/>
    <w:pitch w:val="default"/>
    <w:sig w:usb0="00000000" w:usb1="00000000" w:usb2="00000000" w:usb3="00000000" w:csb0="00000093"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r>
      <w:rPr>
        <w:rFonts w:ascii="Tahoma" w:hAnsi="Tahoma" w:eastAsia="微软雅黑" w:cs="黑体"/>
        <w:sz w:val="18"/>
        <w:szCs w:val="18"/>
        <w:lang w:val="en-US" w:eastAsia="zh-CN" w:bidi="ar-SA"/>
      </w:rPr>
      <w:pict>
        <v:shape id="Quad Arrow 102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r>
      <w:rPr>
        <w:rFonts w:ascii="Tahoma" w:hAnsi="Tahoma" w:eastAsia="微软雅黑" w:cs="黑体"/>
        <w:sz w:val="18"/>
        <w:szCs w:val="18"/>
        <w:lang w:val="en-US" w:eastAsia="zh-CN" w:bidi="ar-SA"/>
      </w:rPr>
      <w:pict>
        <v:shape id="文本框 3"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1"/>
        <w:rPr>
          <w:rFonts w:ascii="宋体" w:hAnsi="宋体" w:eastAsia="宋体" w:cs="宋体"/>
        </w:rPr>
      </w:pPr>
      <w:r>
        <w:rPr>
          <w:rStyle w:val="30"/>
          <w:rFonts w:hint="eastAsia" w:ascii="宋体" w:hAnsi="宋体" w:eastAsia="宋体" w:cs="宋体"/>
        </w:rPr>
        <w:footnoteRef/>
      </w:r>
      <w:r>
        <w:rPr>
          <w:rFonts w:hint="eastAsia" w:ascii="宋体" w:hAnsi="宋体" w:eastAsia="宋体" w:cs="宋体"/>
        </w:rPr>
        <w:t xml:space="preserve"> 从业人员、营业人员、资产总额填报上一年度数据，无上一年度数据的新成立企业可不填报。</w:t>
      </w:r>
    </w:p>
  </w:footnote>
  <w:footnote w:id="1">
    <w:p>
      <w:pPr>
        <w:pStyle w:val="21"/>
        <w:rPr>
          <w:rFonts w:ascii="宋体" w:hAnsi="宋体" w:eastAsia="宋体" w:cs="宋体"/>
        </w:rPr>
      </w:pPr>
      <w:r>
        <w:rPr>
          <w:rStyle w:val="30"/>
          <w:rFonts w:hint="eastAsia" w:ascii="宋体" w:hAnsi="宋体" w:eastAsia="宋体" w:cs="宋体"/>
        </w:rPr>
        <w:footnoteRef/>
      </w:r>
      <w:r>
        <w:rPr>
          <w:rFonts w:hint="eastAsia" w:ascii="宋体" w:hAnsi="宋体" w:eastAsia="宋体" w:cs="宋体"/>
        </w:rPr>
        <w:t xml:space="preserve">  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jc w:val="left"/>
    </w:pPr>
    <w:r>
      <w:rPr>
        <w:rFonts w:hint="eastAsia"/>
      </w:rPr>
      <w:t>国内采购公开招标文件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75404029">
    <w:nsid w:val="4C051EFD"/>
    <w:multiLevelType w:val="multilevel"/>
    <w:tmpl w:val="4C051EFD"/>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3488707749">
    <w:nsid w:val="CFF174A5"/>
    <w:multiLevelType w:val="singleLevel"/>
    <w:tmpl w:val="CFF174A5"/>
    <w:lvl w:ilvl="0" w:tentative="1">
      <w:start w:val="1"/>
      <w:numFmt w:val="decimal"/>
      <w:suff w:val="nothing"/>
      <w:lvlText w:val="%1、"/>
      <w:lvlJc w:val="left"/>
    </w:lvl>
  </w:abstractNum>
  <w:abstractNum w:abstractNumId="545987988">
    <w:nsid w:val="208B1D94"/>
    <w:multiLevelType w:val="multilevel"/>
    <w:tmpl w:val="208B1D94"/>
    <w:lvl w:ilvl="0" w:tentative="1">
      <w:start w:val="1"/>
      <w:numFmt w:val="chineseCountingThousand"/>
      <w:suff w:val="nothing"/>
      <w:lvlText w:val="第%1章 "/>
      <w:lvlJc w:val="left"/>
      <w:pPr>
        <w:ind w:left="0" w:firstLine="0"/>
      </w:pPr>
      <w:rPr>
        <w:rFonts w:hint="eastAsia"/>
        <w:lang w:val="en-US"/>
      </w:rPr>
    </w:lvl>
    <w:lvl w:ilvl="1" w:tentative="1">
      <w:start w:val="1"/>
      <w:numFmt w:val="decimal"/>
      <w:isLgl/>
      <w:suff w:val="nothing"/>
      <w:lvlText w:val="%1.%2 "/>
      <w:lvlJc w:val="left"/>
      <w:pPr>
        <w:ind w:left="-113" w:firstLine="113"/>
      </w:pPr>
      <w:rPr>
        <w:rFonts w:hint="eastAsia"/>
      </w:rPr>
    </w:lvl>
    <w:lvl w:ilvl="2" w:tentative="1">
      <w:start w:val="1"/>
      <w:numFmt w:val="decimal"/>
      <w:isLgl/>
      <w:suff w:val="nothing"/>
      <w:lvlText w:val="%1.%2.%3"/>
      <w:lvlJc w:val="left"/>
      <w:pPr>
        <w:ind w:left="1617" w:firstLine="227"/>
      </w:pPr>
      <w:rPr>
        <w:rFonts w:hint="eastAsia"/>
      </w:rPr>
    </w:lvl>
    <w:lvl w:ilvl="3" w:tentative="1">
      <w:start w:val="1"/>
      <w:numFmt w:val="decimal"/>
      <w:pStyle w:val="33"/>
      <w:isLgl/>
      <w:suff w:val="nothing"/>
      <w:lvlText w:val="%1.%2.%3.%4"/>
      <w:lvlJc w:val="left"/>
      <w:pPr>
        <w:ind w:left="0" w:firstLine="340"/>
      </w:pPr>
      <w:rPr>
        <w:rFonts w:hint="eastAsia"/>
      </w:rPr>
    </w:lvl>
    <w:lvl w:ilvl="4" w:tentative="1">
      <w:start w:val="1"/>
      <w:numFmt w:val="decimal"/>
      <w:pStyle w:val="49"/>
      <w:isLgl/>
      <w:suff w:val="nothing"/>
      <w:lvlText w:val="%1.%2.%3.%4.%5"/>
      <w:lvlJc w:val="left"/>
      <w:pPr>
        <w:ind w:left="-170" w:firstLine="454"/>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065903662">
    <w:nsid w:val="3F88662E"/>
    <w:multiLevelType w:val="singleLevel"/>
    <w:tmpl w:val="3F88662E"/>
    <w:lvl w:ilvl="0" w:tentative="1">
      <w:start w:val="1"/>
      <w:numFmt w:val="decimal"/>
      <w:suff w:val="space"/>
      <w:lvlText w:val="%1)"/>
      <w:lvlJc w:val="left"/>
    </w:lvl>
  </w:abstractNum>
  <w:abstractNum w:abstractNumId="951522362">
    <w:nsid w:val="38B7143A"/>
    <w:multiLevelType w:val="multilevel"/>
    <w:tmpl w:val="38B7143A"/>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1476871659">
    <w:nsid w:val="580745EB"/>
    <w:multiLevelType w:val="multilevel"/>
    <w:tmpl w:val="580745EB"/>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89954686">
    <w:nsid w:val="D0047B7E"/>
    <w:multiLevelType w:val="singleLevel"/>
    <w:tmpl w:val="D0047B7E"/>
    <w:lvl w:ilvl="0" w:tentative="1">
      <w:start w:val="1"/>
      <w:numFmt w:val="decimal"/>
      <w:suff w:val="nothing"/>
      <w:lvlText w:val="%1、"/>
      <w:lvlJc w:val="left"/>
    </w:lvl>
  </w:abstractNum>
  <w:abstractNum w:abstractNumId="5">
    <w:nsid w:val="00000005"/>
    <w:multiLevelType w:val="multilevel"/>
    <w:tmpl w:val="00000005"/>
    <w:lvl w:ilvl="0" w:tentative="1">
      <w:start w:val="1"/>
      <w:numFmt w:val="decimal"/>
      <w:lvlText w:val="%1."/>
      <w:lvlJc w:val="left"/>
      <w:pPr>
        <w:tabs>
          <w:tab w:val="left" w:pos="0"/>
        </w:tabs>
        <w:ind w:left="0" w:firstLine="420"/>
      </w:pPr>
      <w:rPr>
        <w:rFonts w:hint="default"/>
        <w:color w:val="auto"/>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22469374">
    <w:nsid w:val="13387DFE"/>
    <w:multiLevelType w:val="multilevel"/>
    <w:tmpl w:val="13387DFE"/>
    <w:lvl w:ilvl="0" w:tentative="1">
      <w:start w:val="1"/>
      <w:numFmt w:val="decimal"/>
      <w:lvlText w:val="%1."/>
      <w:lvlJc w:val="left"/>
      <w:pPr>
        <w:tabs>
          <w:tab w:val="left" w:pos="425"/>
        </w:tabs>
        <w:ind w:left="425" w:hanging="425"/>
      </w:pPr>
      <w:rPr>
        <w:rFonts w:hint="eastAsia" w:ascii="宋体" w:hAnsi="宋体" w:eastAsia="宋体"/>
      </w:rPr>
    </w:lvl>
    <w:lvl w:ilvl="1" w:tentative="1">
      <w:start w:val="1"/>
      <w:numFmt w:val="decimal"/>
      <w:lvlText w:val="%1.%2."/>
      <w:lvlJc w:val="left"/>
      <w:pPr>
        <w:tabs>
          <w:tab w:val="left" w:pos="567"/>
        </w:tabs>
        <w:ind w:left="567" w:hanging="567"/>
      </w:pPr>
      <w:rPr>
        <w:rFonts w:hint="eastAsia" w:ascii="宋体" w:hAnsi="宋体" w:eastAsia="宋体"/>
        <w:color w:val="auto"/>
      </w:rPr>
    </w:lvl>
    <w:lvl w:ilvl="2" w:tentative="1">
      <w:start w:val="1"/>
      <w:numFmt w:val="decimal"/>
      <w:lvlText w:val="%1.%2.%3."/>
      <w:lvlJc w:val="left"/>
      <w:pPr>
        <w:tabs>
          <w:tab w:val="left" w:pos="794"/>
        </w:tabs>
        <w:ind w:left="794" w:hanging="794"/>
      </w:pPr>
      <w:rPr>
        <w:rFonts w:hint="eastAsia" w:ascii="宋体" w:hAnsi="宋体" w:eastAsia="宋体"/>
      </w:rPr>
    </w:lvl>
    <w:lvl w:ilvl="3" w:tentative="1">
      <w:start w:val="1"/>
      <w:numFmt w:val="decimal"/>
      <w:lvlText w:val="%1.%2.%3.%4."/>
      <w:lvlJc w:val="left"/>
      <w:pPr>
        <w:tabs>
          <w:tab w:val="left" w:pos="454"/>
        </w:tabs>
        <w:ind w:left="1021" w:hanging="1021"/>
      </w:pPr>
      <w:rPr>
        <w:rFonts w:hint="eastAsia" w:ascii="宋体" w:hAnsi="宋体" w:eastAsia="宋体"/>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561672097">
    <w:nsid w:val="5D1539A1"/>
    <w:multiLevelType w:val="multilevel"/>
    <w:tmpl w:val="5D1539A1"/>
    <w:lvl w:ilvl="0" w:tentative="1">
      <w:start w:val="1"/>
      <w:numFmt w:val="decimal"/>
      <w:lvlText w:val="（%1）"/>
      <w:lvlJc w:val="left"/>
      <w:pPr>
        <w:ind w:left="1287" w:hanging="720"/>
      </w:pPr>
      <w:rPr>
        <w:rFonts w:hint="default"/>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1050425046">
    <w:nsid w:val="3E9C36D6"/>
    <w:multiLevelType w:val="multilevel"/>
    <w:tmpl w:val="3E9C36D6"/>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1459032521">
    <w:nsid w:val="56F711C9"/>
    <w:multiLevelType w:val="multilevel"/>
    <w:tmpl w:val="56F711C9"/>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1545092528">
    <w:nsid w:val="5C183DB0"/>
    <w:multiLevelType w:val="multilevel"/>
    <w:tmpl w:val="5C183DB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8456997">
    <w:nsid w:val="784F35A5"/>
    <w:multiLevelType w:val="multilevel"/>
    <w:tmpl w:val="784F35A5"/>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3768514273">
    <w:nsid w:val="E09EF6E1"/>
    <w:multiLevelType w:val="singleLevel"/>
    <w:tmpl w:val="E09EF6E1"/>
    <w:lvl w:ilvl="0" w:tentative="1">
      <w:start w:val="1"/>
      <w:numFmt w:val="decimal"/>
      <w:suff w:val="nothing"/>
      <w:lvlText w:val="（%1）"/>
      <w:lvlJc w:val="left"/>
    </w:lvl>
  </w:abstractNum>
  <w:abstractNum w:abstractNumId="1563904144">
    <w:nsid w:val="5D374890"/>
    <w:multiLevelType w:val="multilevel"/>
    <w:tmpl w:val="5D374890"/>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num w:numId="1">
    <w:abstractNumId w:val="545987988"/>
  </w:num>
  <w:num w:numId="2">
    <w:abstractNumId w:val="2018456997"/>
  </w:num>
  <w:num w:numId="3">
    <w:abstractNumId w:val="951522362"/>
  </w:num>
  <w:num w:numId="4">
    <w:abstractNumId w:val="1563904144"/>
  </w:num>
  <w:num w:numId="5">
    <w:abstractNumId w:val="1275404029"/>
  </w:num>
  <w:num w:numId="6">
    <w:abstractNumId w:val="1050425046"/>
  </w:num>
  <w:num w:numId="7">
    <w:abstractNumId w:val="1476871659"/>
  </w:num>
  <w:num w:numId="8">
    <w:abstractNumId w:val="322469374"/>
  </w:num>
  <w:num w:numId="9">
    <w:abstractNumId w:val="1561672097"/>
  </w:num>
  <w:num w:numId="10">
    <w:abstractNumId w:val="1065903662"/>
  </w:num>
  <w:num w:numId="11">
    <w:abstractNumId w:val="3768514273"/>
  </w:num>
  <w:num w:numId="12">
    <w:abstractNumId w:val="3488707749"/>
  </w:num>
  <w:num w:numId="13">
    <w:abstractNumId w:val="5"/>
  </w:num>
  <w:num w:numId="14">
    <w:abstractNumId w:val="1459032521"/>
  </w:num>
  <w:num w:numId="15">
    <w:abstractNumId w:val="3489954686"/>
  </w:num>
  <w:num w:numId="16">
    <w:abstractNumId w:val="15450925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64F6B"/>
    <w:rsid w:val="00006462"/>
    <w:rsid w:val="000300E4"/>
    <w:rsid w:val="0003307E"/>
    <w:rsid w:val="000336BA"/>
    <w:rsid w:val="000359A1"/>
    <w:rsid w:val="0007500F"/>
    <w:rsid w:val="0008282E"/>
    <w:rsid w:val="000A363F"/>
    <w:rsid w:val="000A42A8"/>
    <w:rsid w:val="000A5063"/>
    <w:rsid w:val="000A5DBD"/>
    <w:rsid w:val="000B0CC9"/>
    <w:rsid w:val="000C4524"/>
    <w:rsid w:val="000D44A6"/>
    <w:rsid w:val="000F0E98"/>
    <w:rsid w:val="001049A5"/>
    <w:rsid w:val="001242F3"/>
    <w:rsid w:val="00134CAD"/>
    <w:rsid w:val="001355C3"/>
    <w:rsid w:val="0013730B"/>
    <w:rsid w:val="00137853"/>
    <w:rsid w:val="00137E1C"/>
    <w:rsid w:val="00147012"/>
    <w:rsid w:val="00173126"/>
    <w:rsid w:val="00173905"/>
    <w:rsid w:val="00173E04"/>
    <w:rsid w:val="00175D29"/>
    <w:rsid w:val="001844F4"/>
    <w:rsid w:val="00185039"/>
    <w:rsid w:val="00192E06"/>
    <w:rsid w:val="001A06D8"/>
    <w:rsid w:val="001A2D42"/>
    <w:rsid w:val="001A2EF7"/>
    <w:rsid w:val="001B41CF"/>
    <w:rsid w:val="001B5860"/>
    <w:rsid w:val="001C1135"/>
    <w:rsid w:val="001C15AE"/>
    <w:rsid w:val="001C4661"/>
    <w:rsid w:val="001C55E7"/>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0F0D"/>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12BDB"/>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1A55"/>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527"/>
    <w:rsid w:val="009E398C"/>
    <w:rsid w:val="009E6F05"/>
    <w:rsid w:val="00A10906"/>
    <w:rsid w:val="00A14EEF"/>
    <w:rsid w:val="00A61230"/>
    <w:rsid w:val="00A813C5"/>
    <w:rsid w:val="00A824E6"/>
    <w:rsid w:val="00A858DC"/>
    <w:rsid w:val="00A94D14"/>
    <w:rsid w:val="00AA123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026F"/>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38EE"/>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01E08"/>
    <w:rsid w:val="00E21B77"/>
    <w:rsid w:val="00E40CAD"/>
    <w:rsid w:val="00E61D2E"/>
    <w:rsid w:val="00E62B7F"/>
    <w:rsid w:val="00E726BC"/>
    <w:rsid w:val="00E72821"/>
    <w:rsid w:val="00E75113"/>
    <w:rsid w:val="00E81DDC"/>
    <w:rsid w:val="00E81F67"/>
    <w:rsid w:val="00E83650"/>
    <w:rsid w:val="00E83A31"/>
    <w:rsid w:val="00E97CC0"/>
    <w:rsid w:val="00EA2524"/>
    <w:rsid w:val="00EB2290"/>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743E6"/>
    <w:rsid w:val="00F97062"/>
    <w:rsid w:val="00F9745D"/>
    <w:rsid w:val="00FC7B53"/>
    <w:rsid w:val="00FD48CC"/>
    <w:rsid w:val="00FE62D1"/>
    <w:rsid w:val="00FF26BF"/>
    <w:rsid w:val="018023CE"/>
    <w:rsid w:val="01881AD6"/>
    <w:rsid w:val="02A741FD"/>
    <w:rsid w:val="02C16E5D"/>
    <w:rsid w:val="02D964CF"/>
    <w:rsid w:val="03707410"/>
    <w:rsid w:val="03A0770F"/>
    <w:rsid w:val="03A448B8"/>
    <w:rsid w:val="04575547"/>
    <w:rsid w:val="047B4012"/>
    <w:rsid w:val="04DF1036"/>
    <w:rsid w:val="05A97DEC"/>
    <w:rsid w:val="05B23978"/>
    <w:rsid w:val="05C81981"/>
    <w:rsid w:val="06BC41F2"/>
    <w:rsid w:val="07197D08"/>
    <w:rsid w:val="071E5C55"/>
    <w:rsid w:val="077005AB"/>
    <w:rsid w:val="078F4581"/>
    <w:rsid w:val="07BF027F"/>
    <w:rsid w:val="07D07F2B"/>
    <w:rsid w:val="08031A31"/>
    <w:rsid w:val="082D26B4"/>
    <w:rsid w:val="09061A75"/>
    <w:rsid w:val="09182241"/>
    <w:rsid w:val="09855177"/>
    <w:rsid w:val="0AA534D5"/>
    <w:rsid w:val="0AA650EB"/>
    <w:rsid w:val="0AF47339"/>
    <w:rsid w:val="0B22594B"/>
    <w:rsid w:val="0BDF26F7"/>
    <w:rsid w:val="0C2B4952"/>
    <w:rsid w:val="0C7B2220"/>
    <w:rsid w:val="0CC222FA"/>
    <w:rsid w:val="0D133046"/>
    <w:rsid w:val="0D890E47"/>
    <w:rsid w:val="0DC64A00"/>
    <w:rsid w:val="0DFC60BA"/>
    <w:rsid w:val="0F7C5FF6"/>
    <w:rsid w:val="0FC63FBD"/>
    <w:rsid w:val="0FFD3244"/>
    <w:rsid w:val="106C564D"/>
    <w:rsid w:val="107B7B8F"/>
    <w:rsid w:val="107C67CE"/>
    <w:rsid w:val="109D68CB"/>
    <w:rsid w:val="10A949B8"/>
    <w:rsid w:val="11200D07"/>
    <w:rsid w:val="11DA73AF"/>
    <w:rsid w:val="12B006A4"/>
    <w:rsid w:val="12C60D80"/>
    <w:rsid w:val="131F7A3A"/>
    <w:rsid w:val="132645D0"/>
    <w:rsid w:val="13455ABC"/>
    <w:rsid w:val="135624DC"/>
    <w:rsid w:val="1370322B"/>
    <w:rsid w:val="143B2E0B"/>
    <w:rsid w:val="14892735"/>
    <w:rsid w:val="14CC769D"/>
    <w:rsid w:val="151C1B99"/>
    <w:rsid w:val="15D359D7"/>
    <w:rsid w:val="163C77BE"/>
    <w:rsid w:val="1679588C"/>
    <w:rsid w:val="16994962"/>
    <w:rsid w:val="16A71041"/>
    <w:rsid w:val="16AA24BF"/>
    <w:rsid w:val="16D329EC"/>
    <w:rsid w:val="17680CAB"/>
    <w:rsid w:val="176E4128"/>
    <w:rsid w:val="1783371F"/>
    <w:rsid w:val="17E62B67"/>
    <w:rsid w:val="180F4499"/>
    <w:rsid w:val="18221ECE"/>
    <w:rsid w:val="183C3D90"/>
    <w:rsid w:val="19036729"/>
    <w:rsid w:val="1A460CF5"/>
    <w:rsid w:val="1A7F297D"/>
    <w:rsid w:val="1AB16AC1"/>
    <w:rsid w:val="1B034A52"/>
    <w:rsid w:val="1B0D3B4E"/>
    <w:rsid w:val="1B6D79D0"/>
    <w:rsid w:val="1C750ECE"/>
    <w:rsid w:val="1CE44F73"/>
    <w:rsid w:val="1D196139"/>
    <w:rsid w:val="1E010AF7"/>
    <w:rsid w:val="1E301173"/>
    <w:rsid w:val="1F43381C"/>
    <w:rsid w:val="1FA4148D"/>
    <w:rsid w:val="1FE84AD6"/>
    <w:rsid w:val="20121621"/>
    <w:rsid w:val="204E554F"/>
    <w:rsid w:val="20590035"/>
    <w:rsid w:val="20FC799E"/>
    <w:rsid w:val="21286DA7"/>
    <w:rsid w:val="21434D8C"/>
    <w:rsid w:val="2187314A"/>
    <w:rsid w:val="22154DDD"/>
    <w:rsid w:val="22336873"/>
    <w:rsid w:val="224A683F"/>
    <w:rsid w:val="23287C3C"/>
    <w:rsid w:val="23BB4E7D"/>
    <w:rsid w:val="23C172D6"/>
    <w:rsid w:val="23E6195D"/>
    <w:rsid w:val="23F04F64"/>
    <w:rsid w:val="24814CBE"/>
    <w:rsid w:val="24A45317"/>
    <w:rsid w:val="24AC168B"/>
    <w:rsid w:val="254D0389"/>
    <w:rsid w:val="258C3BEC"/>
    <w:rsid w:val="25E5427A"/>
    <w:rsid w:val="26327104"/>
    <w:rsid w:val="263B1230"/>
    <w:rsid w:val="26B1001F"/>
    <w:rsid w:val="27B36A67"/>
    <w:rsid w:val="27EC19CB"/>
    <w:rsid w:val="2846581F"/>
    <w:rsid w:val="286602C8"/>
    <w:rsid w:val="28665C95"/>
    <w:rsid w:val="28F579BA"/>
    <w:rsid w:val="290B3EB9"/>
    <w:rsid w:val="2950768C"/>
    <w:rsid w:val="297A5FC4"/>
    <w:rsid w:val="2A8D4F8F"/>
    <w:rsid w:val="2A917B34"/>
    <w:rsid w:val="2AE3766F"/>
    <w:rsid w:val="2B1A3AE8"/>
    <w:rsid w:val="2B7E4054"/>
    <w:rsid w:val="2C987C56"/>
    <w:rsid w:val="2CE636B8"/>
    <w:rsid w:val="2CFF149A"/>
    <w:rsid w:val="2D201865"/>
    <w:rsid w:val="2D4B5CEA"/>
    <w:rsid w:val="2D652658"/>
    <w:rsid w:val="2D8826A5"/>
    <w:rsid w:val="2DC80C49"/>
    <w:rsid w:val="2DCA6355"/>
    <w:rsid w:val="2E166748"/>
    <w:rsid w:val="2E556F01"/>
    <w:rsid w:val="2E8E20B4"/>
    <w:rsid w:val="2EA01834"/>
    <w:rsid w:val="2EA81517"/>
    <w:rsid w:val="2ED06066"/>
    <w:rsid w:val="2ED1223D"/>
    <w:rsid w:val="2F000139"/>
    <w:rsid w:val="2F9F42DC"/>
    <w:rsid w:val="2FC068F6"/>
    <w:rsid w:val="2FF37AB3"/>
    <w:rsid w:val="30224DF6"/>
    <w:rsid w:val="30322AC2"/>
    <w:rsid w:val="31170995"/>
    <w:rsid w:val="31264A30"/>
    <w:rsid w:val="31884E67"/>
    <w:rsid w:val="31A0275E"/>
    <w:rsid w:val="3283511E"/>
    <w:rsid w:val="32AB70C5"/>
    <w:rsid w:val="33186FD0"/>
    <w:rsid w:val="335D0AF5"/>
    <w:rsid w:val="3370088C"/>
    <w:rsid w:val="33DC2F78"/>
    <w:rsid w:val="33E45C15"/>
    <w:rsid w:val="3428227C"/>
    <w:rsid w:val="35602226"/>
    <w:rsid w:val="356B72E7"/>
    <w:rsid w:val="3572424F"/>
    <w:rsid w:val="35A728B0"/>
    <w:rsid w:val="367801A9"/>
    <w:rsid w:val="36AD519D"/>
    <w:rsid w:val="36B57705"/>
    <w:rsid w:val="37122320"/>
    <w:rsid w:val="37A103ED"/>
    <w:rsid w:val="37A52A96"/>
    <w:rsid w:val="37EA5E6E"/>
    <w:rsid w:val="37FF016F"/>
    <w:rsid w:val="387C5ABE"/>
    <w:rsid w:val="38EB6119"/>
    <w:rsid w:val="3A166F4B"/>
    <w:rsid w:val="3A51228C"/>
    <w:rsid w:val="3A552E60"/>
    <w:rsid w:val="3A5D642F"/>
    <w:rsid w:val="3AB210FC"/>
    <w:rsid w:val="3B793A48"/>
    <w:rsid w:val="3BCD72F7"/>
    <w:rsid w:val="3C356F45"/>
    <w:rsid w:val="3C3D3625"/>
    <w:rsid w:val="3C414142"/>
    <w:rsid w:val="3CF737A2"/>
    <w:rsid w:val="3D10295A"/>
    <w:rsid w:val="3E0572FD"/>
    <w:rsid w:val="3E5A7FE7"/>
    <w:rsid w:val="3ED92660"/>
    <w:rsid w:val="3EF66B2E"/>
    <w:rsid w:val="3F217914"/>
    <w:rsid w:val="3F757EDE"/>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3904F1"/>
    <w:rsid w:val="4571374F"/>
    <w:rsid w:val="458B1BB0"/>
    <w:rsid w:val="45BC5E35"/>
    <w:rsid w:val="467A0297"/>
    <w:rsid w:val="468B7125"/>
    <w:rsid w:val="46C4691F"/>
    <w:rsid w:val="473A6F51"/>
    <w:rsid w:val="47830DE1"/>
    <w:rsid w:val="479D1D34"/>
    <w:rsid w:val="47B609C0"/>
    <w:rsid w:val="482D31EA"/>
    <w:rsid w:val="485970A0"/>
    <w:rsid w:val="48823516"/>
    <w:rsid w:val="48B65C71"/>
    <w:rsid w:val="492E6A57"/>
    <w:rsid w:val="49F113DE"/>
    <w:rsid w:val="4A0030EE"/>
    <w:rsid w:val="4B8C2DEB"/>
    <w:rsid w:val="4BFA3C9F"/>
    <w:rsid w:val="4C107F48"/>
    <w:rsid w:val="4C3277BC"/>
    <w:rsid w:val="4CC353EB"/>
    <w:rsid w:val="4CF36F3C"/>
    <w:rsid w:val="4D441F51"/>
    <w:rsid w:val="4D603399"/>
    <w:rsid w:val="4D867EE1"/>
    <w:rsid w:val="4DBC4C65"/>
    <w:rsid w:val="4E550010"/>
    <w:rsid w:val="4E5F14CB"/>
    <w:rsid w:val="4F3705F8"/>
    <w:rsid w:val="4FAC3540"/>
    <w:rsid w:val="4FCF1583"/>
    <w:rsid w:val="4FFA7625"/>
    <w:rsid w:val="507D2599"/>
    <w:rsid w:val="50896757"/>
    <w:rsid w:val="5096229D"/>
    <w:rsid w:val="50AA71CF"/>
    <w:rsid w:val="50DC4184"/>
    <w:rsid w:val="514C3EA7"/>
    <w:rsid w:val="52AC4ABC"/>
    <w:rsid w:val="52B97435"/>
    <w:rsid w:val="53213F70"/>
    <w:rsid w:val="539C1B81"/>
    <w:rsid w:val="53A447B1"/>
    <w:rsid w:val="53AE750F"/>
    <w:rsid w:val="549A6BFA"/>
    <w:rsid w:val="55FA2961"/>
    <w:rsid w:val="564220BA"/>
    <w:rsid w:val="565E7F4F"/>
    <w:rsid w:val="56914056"/>
    <w:rsid w:val="57293C95"/>
    <w:rsid w:val="579D72A6"/>
    <w:rsid w:val="57F65317"/>
    <w:rsid w:val="57FC2169"/>
    <w:rsid w:val="58096275"/>
    <w:rsid w:val="582E6EF7"/>
    <w:rsid w:val="584E30E6"/>
    <w:rsid w:val="5911172D"/>
    <w:rsid w:val="597B384D"/>
    <w:rsid w:val="59996DA8"/>
    <w:rsid w:val="59C30F1B"/>
    <w:rsid w:val="5AC7121C"/>
    <w:rsid w:val="5AD90B8D"/>
    <w:rsid w:val="5AE12927"/>
    <w:rsid w:val="5B4E1A44"/>
    <w:rsid w:val="5B873201"/>
    <w:rsid w:val="5B967767"/>
    <w:rsid w:val="5C286807"/>
    <w:rsid w:val="5C446BC8"/>
    <w:rsid w:val="5C7C2768"/>
    <w:rsid w:val="5CB23AE6"/>
    <w:rsid w:val="5D0D6DF5"/>
    <w:rsid w:val="5D893B14"/>
    <w:rsid w:val="5E6C5A05"/>
    <w:rsid w:val="5E843793"/>
    <w:rsid w:val="5EA06921"/>
    <w:rsid w:val="5FBA1B9B"/>
    <w:rsid w:val="5FBE370A"/>
    <w:rsid w:val="60292845"/>
    <w:rsid w:val="612E1A5D"/>
    <w:rsid w:val="61816046"/>
    <w:rsid w:val="62391564"/>
    <w:rsid w:val="62816669"/>
    <w:rsid w:val="62BA0953"/>
    <w:rsid w:val="62D03A7C"/>
    <w:rsid w:val="62F648FE"/>
    <w:rsid w:val="63A10995"/>
    <w:rsid w:val="63A13700"/>
    <w:rsid w:val="63B92874"/>
    <w:rsid w:val="63C23EFA"/>
    <w:rsid w:val="643A070A"/>
    <w:rsid w:val="644C573D"/>
    <w:rsid w:val="65032F85"/>
    <w:rsid w:val="65136B50"/>
    <w:rsid w:val="657E2A35"/>
    <w:rsid w:val="65A94E9D"/>
    <w:rsid w:val="65C60A92"/>
    <w:rsid w:val="66A12460"/>
    <w:rsid w:val="66DD6702"/>
    <w:rsid w:val="672520C8"/>
    <w:rsid w:val="682A2352"/>
    <w:rsid w:val="68AD17BB"/>
    <w:rsid w:val="68D94D22"/>
    <w:rsid w:val="692B2E4A"/>
    <w:rsid w:val="694F77D7"/>
    <w:rsid w:val="696A0B34"/>
    <w:rsid w:val="698D6A17"/>
    <w:rsid w:val="69F954C1"/>
    <w:rsid w:val="6A2031B6"/>
    <w:rsid w:val="6A2F57D7"/>
    <w:rsid w:val="6A324242"/>
    <w:rsid w:val="6AAC29C2"/>
    <w:rsid w:val="6AC61F6F"/>
    <w:rsid w:val="6ADE74F0"/>
    <w:rsid w:val="6B723594"/>
    <w:rsid w:val="6B805156"/>
    <w:rsid w:val="6BC75C65"/>
    <w:rsid w:val="6BD50977"/>
    <w:rsid w:val="6BE60C84"/>
    <w:rsid w:val="6CAA3931"/>
    <w:rsid w:val="6D3933CA"/>
    <w:rsid w:val="6D7B61EC"/>
    <w:rsid w:val="6E09491E"/>
    <w:rsid w:val="6E0D3655"/>
    <w:rsid w:val="6E4128A7"/>
    <w:rsid w:val="6E5F4465"/>
    <w:rsid w:val="6E8C54DA"/>
    <w:rsid w:val="6EBF1DAF"/>
    <w:rsid w:val="6EF11E03"/>
    <w:rsid w:val="6F111C62"/>
    <w:rsid w:val="6F2176E5"/>
    <w:rsid w:val="6F592303"/>
    <w:rsid w:val="6F5F5B74"/>
    <w:rsid w:val="6F9B1C65"/>
    <w:rsid w:val="6FFB146E"/>
    <w:rsid w:val="706516C3"/>
    <w:rsid w:val="70896E68"/>
    <w:rsid w:val="70BF2889"/>
    <w:rsid w:val="714E561F"/>
    <w:rsid w:val="715B60E9"/>
    <w:rsid w:val="71EA1FED"/>
    <w:rsid w:val="72102A5D"/>
    <w:rsid w:val="730313F6"/>
    <w:rsid w:val="73370D24"/>
    <w:rsid w:val="7359268C"/>
    <w:rsid w:val="739503EB"/>
    <w:rsid w:val="73977AB3"/>
    <w:rsid w:val="73A05B28"/>
    <w:rsid w:val="73C07D69"/>
    <w:rsid w:val="74250C52"/>
    <w:rsid w:val="74B42AE4"/>
    <w:rsid w:val="750A429D"/>
    <w:rsid w:val="75614792"/>
    <w:rsid w:val="75784473"/>
    <w:rsid w:val="75B161B3"/>
    <w:rsid w:val="76736B32"/>
    <w:rsid w:val="768925E3"/>
    <w:rsid w:val="76E3765E"/>
    <w:rsid w:val="76FC2AFA"/>
    <w:rsid w:val="77653671"/>
    <w:rsid w:val="778546CC"/>
    <w:rsid w:val="77B56730"/>
    <w:rsid w:val="77C04A8B"/>
    <w:rsid w:val="77D85DB3"/>
    <w:rsid w:val="78A50513"/>
    <w:rsid w:val="78D8395D"/>
    <w:rsid w:val="796518DD"/>
    <w:rsid w:val="79AA0532"/>
    <w:rsid w:val="79FE1DDD"/>
    <w:rsid w:val="7A075767"/>
    <w:rsid w:val="7A212062"/>
    <w:rsid w:val="7A282A11"/>
    <w:rsid w:val="7A3A59B8"/>
    <w:rsid w:val="7AC21562"/>
    <w:rsid w:val="7AD474A4"/>
    <w:rsid w:val="7ADB4A26"/>
    <w:rsid w:val="7B8D34C3"/>
    <w:rsid w:val="7B971D84"/>
    <w:rsid w:val="7BD277CC"/>
    <w:rsid w:val="7BF32F03"/>
    <w:rsid w:val="7C1724A5"/>
    <w:rsid w:val="7CA54112"/>
    <w:rsid w:val="7CAA7097"/>
    <w:rsid w:val="7CAB27F5"/>
    <w:rsid w:val="7CE50CE4"/>
    <w:rsid w:val="7D2E5ABF"/>
    <w:rsid w:val="7DE07113"/>
    <w:rsid w:val="7E2142A2"/>
    <w:rsid w:val="7E7B0BF2"/>
    <w:rsid w:val="7E8D75B6"/>
    <w:rsid w:val="7EF760E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qFormat/>
    <w:uiPriority w:val="9"/>
    <w:pPr>
      <w:keepNext/>
      <w:keepLines/>
      <w:tabs>
        <w:tab w:val="left" w:pos="720"/>
      </w:tabs>
      <w:spacing w:before="100" w:after="100" w:line="360" w:lineRule="auto"/>
      <w:ind w:left="720"/>
      <w:jc w:val="center"/>
      <w:outlineLvl w:val="0"/>
    </w:pPr>
    <w:rPr>
      <w:rFonts w:ascii="宋体" w:hAnsi="宋体" w:eastAsia="宋体" w:cs="Times New Roman"/>
      <w:b/>
      <w:kern w:val="44"/>
      <w:sz w:val="32"/>
    </w:rPr>
  </w:style>
  <w:style w:type="paragraph" w:styleId="3">
    <w:name w:val="heading 2"/>
    <w:basedOn w:val="1"/>
    <w:next w:val="4"/>
    <w:link w:val="51"/>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5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unhideWhenUsed/>
    <w:qFormat/>
    <w:uiPriority w:val="9"/>
    <w:pPr>
      <w:keepNext/>
      <w:keepLines/>
      <w:spacing w:before="280" w:after="290" w:line="376" w:lineRule="auto"/>
      <w:outlineLvl w:val="3"/>
    </w:pPr>
    <w:rPr>
      <w:rFonts w:ascii="Cambria" w:hAnsi="Cambria" w:eastAsia="宋体"/>
      <w:b/>
      <w:bCs/>
      <w:sz w:val="28"/>
      <w:szCs w:val="28"/>
    </w:rPr>
  </w:style>
  <w:style w:type="paragraph" w:styleId="6">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26">
    <w:name w:val="Default Paragraph Font"/>
    <w:unhideWhenUsed/>
    <w:uiPriority w:val="1"/>
  </w:style>
  <w:style w:type="table" w:default="1" w:styleId="31">
    <w:name w:val="Normal Table"/>
    <w:unhideWhenUsed/>
    <w:uiPriority w:val="99"/>
    <w:tblPr>
      <w:tblStyle w:val="31"/>
      <w:tblLayout w:type="fixed"/>
      <w:tblCellMar>
        <w:top w:w="0" w:type="dxa"/>
        <w:left w:w="108" w:type="dxa"/>
        <w:bottom w:w="0" w:type="dxa"/>
        <w:right w:w="108" w:type="dxa"/>
      </w:tblCellMar>
    </w:tblPr>
    <w:tcPr>
      <w:textDirection w:val="lrTb"/>
    </w:tcPr>
  </w:style>
  <w:style w:type="paragraph" w:styleId="7">
    <w:name w:val="toc 7"/>
    <w:basedOn w:val="1"/>
    <w:next w:val="1"/>
    <w:unhideWhenUsed/>
    <w:uiPriority w:val="39"/>
    <w:pPr>
      <w:widowControl w:val="0"/>
      <w:adjustRightInd/>
      <w:snapToGrid/>
      <w:spacing w:after="0"/>
      <w:ind w:left="2520" w:leftChars="1200"/>
      <w:jc w:val="both"/>
    </w:pPr>
    <w:rPr>
      <w:rFonts w:ascii="Calibri" w:hAnsi="Calibri" w:eastAsia="宋体" w:cs="黑体"/>
      <w:kern w:val="2"/>
      <w:sz w:val="21"/>
    </w:rPr>
  </w:style>
  <w:style w:type="paragraph" w:styleId="8">
    <w:name w:val="annotation text"/>
    <w:basedOn w:val="1"/>
    <w:unhideWhenUsed/>
    <w:qFormat/>
    <w:uiPriority w:val="99"/>
  </w:style>
  <w:style w:type="paragraph" w:styleId="9">
    <w:name w:val="Body Text"/>
    <w:basedOn w:val="1"/>
    <w:next w:val="1"/>
    <w:qFormat/>
    <w:uiPriority w:val="1"/>
    <w:pPr>
      <w:spacing w:before="161"/>
      <w:ind w:left="120"/>
    </w:pPr>
    <w:rPr>
      <w:rFonts w:ascii="宋体" w:hAnsi="宋体" w:eastAsia="宋体" w:cs="宋体"/>
      <w:sz w:val="24"/>
      <w:lang w:val="zh-CN" w:bidi="zh-CN"/>
    </w:rPr>
  </w:style>
  <w:style w:type="paragraph" w:styleId="10">
    <w:name w:val="Body Text Indent"/>
    <w:basedOn w:val="1"/>
    <w:unhideWhenUsed/>
    <w:uiPriority w:val="99"/>
    <w:pPr>
      <w:spacing w:after="120"/>
      <w:ind w:left="420" w:leftChars="200"/>
    </w:pPr>
  </w:style>
  <w:style w:type="paragraph" w:styleId="11">
    <w:name w:val="toc 5"/>
    <w:basedOn w:val="1"/>
    <w:next w:val="1"/>
    <w:unhideWhenUsed/>
    <w:uiPriority w:val="39"/>
    <w:pPr>
      <w:widowControl w:val="0"/>
      <w:adjustRightInd/>
      <w:snapToGrid/>
      <w:spacing w:after="0"/>
      <w:ind w:left="1680" w:leftChars="800"/>
      <w:jc w:val="both"/>
    </w:pPr>
    <w:rPr>
      <w:rFonts w:ascii="Calibri" w:hAnsi="Calibri" w:eastAsia="宋体" w:cs="黑体"/>
      <w:kern w:val="2"/>
      <w:sz w:val="21"/>
    </w:rPr>
  </w:style>
  <w:style w:type="paragraph" w:styleId="12">
    <w:name w:val="toc 3"/>
    <w:basedOn w:val="1"/>
    <w:next w:val="1"/>
    <w:unhideWhenUsed/>
    <w:qFormat/>
    <w:uiPriority w:val="39"/>
    <w:pPr>
      <w:tabs>
        <w:tab w:val="right" w:leader="dot" w:pos="8296"/>
      </w:tabs>
      <w:ind w:left="838" w:leftChars="381"/>
    </w:pPr>
    <w:rPr>
      <w:sz w:val="21"/>
      <w:szCs w:val="21"/>
    </w:rPr>
  </w:style>
  <w:style w:type="paragraph" w:styleId="13">
    <w:name w:val="Plain Text"/>
    <w:basedOn w:val="1"/>
    <w:link w:val="60"/>
    <w:qFormat/>
    <w:uiPriority w:val="0"/>
    <w:pPr>
      <w:widowControl w:val="0"/>
      <w:adjustRightInd/>
      <w:snapToGrid/>
      <w:spacing w:after="0"/>
      <w:jc w:val="both"/>
    </w:pPr>
    <w:rPr>
      <w:rFonts w:ascii="宋体" w:hAnsi="Courier New" w:eastAsia="宋体" w:cs="Times New Roman"/>
      <w:b/>
      <w:kern w:val="2"/>
      <w:sz w:val="21"/>
      <w:szCs w:val="20"/>
    </w:rPr>
  </w:style>
  <w:style w:type="paragraph" w:styleId="14">
    <w:name w:val="toc 8"/>
    <w:basedOn w:val="1"/>
    <w:next w:val="1"/>
    <w:unhideWhenUsed/>
    <w:uiPriority w:val="39"/>
    <w:pPr>
      <w:widowControl w:val="0"/>
      <w:adjustRightInd/>
      <w:snapToGrid/>
      <w:spacing w:after="0"/>
      <w:ind w:left="2940" w:leftChars="1400"/>
      <w:jc w:val="both"/>
    </w:pPr>
    <w:rPr>
      <w:rFonts w:ascii="Calibri" w:hAnsi="Calibri" w:eastAsia="宋体" w:cs="黑体"/>
      <w:kern w:val="2"/>
      <w:sz w:val="21"/>
    </w:rPr>
  </w:style>
  <w:style w:type="paragraph" w:styleId="15">
    <w:name w:val="Balloon Text"/>
    <w:basedOn w:val="1"/>
    <w:link w:val="63"/>
    <w:unhideWhenUsed/>
    <w:qFormat/>
    <w:uiPriority w:val="99"/>
    <w:pPr>
      <w:spacing w:after="0"/>
    </w:pPr>
    <w:rPr>
      <w:sz w:val="18"/>
      <w:szCs w:val="18"/>
    </w:rPr>
  </w:style>
  <w:style w:type="paragraph" w:styleId="16">
    <w:name w:val="footer"/>
    <w:basedOn w:val="1"/>
    <w:link w:val="62"/>
    <w:unhideWhenUsed/>
    <w:qFormat/>
    <w:uiPriority w:val="99"/>
    <w:pPr>
      <w:tabs>
        <w:tab w:val="center" w:pos="4153"/>
        <w:tab w:val="right" w:pos="8306"/>
      </w:tabs>
    </w:pPr>
    <w:rPr>
      <w:sz w:val="18"/>
      <w:szCs w:val="18"/>
    </w:rPr>
  </w:style>
  <w:style w:type="paragraph" w:styleId="17">
    <w:name w:val="Body Text First Indent 2"/>
    <w:basedOn w:val="10"/>
    <w:unhideWhenUsed/>
    <w:uiPriority w:val="99"/>
  </w:style>
  <w:style w:type="paragraph" w:styleId="18">
    <w:name w:val="header"/>
    <w:basedOn w:val="1"/>
    <w:link w:val="61"/>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unhideWhenUsed/>
    <w:qFormat/>
    <w:uiPriority w:val="99"/>
    <w:rPr>
      <w:sz w:val="18"/>
    </w:rPr>
  </w:style>
  <w:style w:type="paragraph" w:styleId="22">
    <w:name w:val="toc 6"/>
    <w:basedOn w:val="1"/>
    <w:next w:val="1"/>
    <w:unhideWhenUsed/>
    <w:qFormat/>
    <w:uiPriority w:val="39"/>
    <w:pPr>
      <w:widowControl w:val="0"/>
      <w:adjustRightInd/>
      <w:snapToGrid/>
      <w:spacing w:after="0"/>
      <w:ind w:left="2100" w:leftChars="1000"/>
      <w:jc w:val="both"/>
    </w:pPr>
    <w:rPr>
      <w:rFonts w:ascii="Calibri" w:hAnsi="Calibri" w:eastAsia="宋体" w:cs="黑体"/>
      <w:kern w:val="2"/>
      <w:sz w:val="21"/>
    </w:rPr>
  </w:style>
  <w:style w:type="paragraph" w:styleId="23">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4">
    <w:name w:val="toc 9"/>
    <w:basedOn w:val="1"/>
    <w:next w:val="1"/>
    <w:unhideWhenUsed/>
    <w:qFormat/>
    <w:uiPriority w:val="39"/>
    <w:pPr>
      <w:widowControl w:val="0"/>
      <w:adjustRightInd/>
      <w:snapToGrid/>
      <w:spacing w:after="0"/>
      <w:ind w:left="3360" w:leftChars="1600"/>
      <w:jc w:val="both"/>
    </w:pPr>
    <w:rPr>
      <w:rFonts w:ascii="Calibri" w:hAnsi="Calibri" w:eastAsia="宋体" w:cs="黑体"/>
      <w:kern w:val="2"/>
      <w:sz w:val="21"/>
    </w:rPr>
  </w:style>
  <w:style w:type="paragraph" w:styleId="25">
    <w:name w:val="Normal (Web)"/>
    <w:basedOn w:val="1"/>
    <w:link w:val="64"/>
    <w:qFormat/>
    <w:uiPriority w:val="0"/>
    <w:pPr>
      <w:widowControl w:val="0"/>
      <w:adjustRightInd/>
      <w:snapToGrid/>
      <w:spacing w:after="0"/>
      <w:jc w:val="both"/>
    </w:pPr>
    <w:rPr>
      <w:rFonts w:ascii="Calibri" w:hAnsi="Calibri" w:eastAsia="宋体"/>
      <w:kern w:val="2"/>
      <w:sz w:val="24"/>
      <w:szCs w:val="24"/>
    </w:rPr>
  </w:style>
  <w:style w:type="character" w:styleId="27">
    <w:name w:val="page number"/>
    <w:basedOn w:val="26"/>
    <w:unhideWhenUsed/>
    <w:uiPriority w:val="99"/>
    <w:rPr/>
  </w:style>
  <w:style w:type="character" w:styleId="28">
    <w:name w:val="Emphasis"/>
    <w:basedOn w:val="26"/>
    <w:qFormat/>
    <w:uiPriority w:val="20"/>
    <w:rPr>
      <w:i/>
      <w:iCs/>
    </w:rPr>
  </w:style>
  <w:style w:type="character" w:styleId="29">
    <w:name w:val="Hyperlink"/>
    <w:qFormat/>
    <w:uiPriority w:val="99"/>
    <w:rPr>
      <w:rFonts w:hint="eastAsia" w:ascii="宋体" w:hAnsi="宋体" w:eastAsia="宋体" w:cs="宋体"/>
      <w:b/>
      <w:color w:val="0031C1"/>
      <w:kern w:val="0"/>
      <w:sz w:val="18"/>
      <w:szCs w:val="18"/>
      <w:u w:val="none"/>
      <w:lang w:eastAsia="en-US"/>
    </w:rPr>
  </w:style>
  <w:style w:type="character" w:styleId="30">
    <w:name w:val="footnote reference"/>
    <w:basedOn w:val="26"/>
    <w:unhideWhenUsed/>
    <w:qFormat/>
    <w:uiPriority w:val="99"/>
    <w:rPr>
      <w:vertAlign w:val="superscript"/>
    </w:rPr>
  </w:style>
  <w:style w:type="table" w:styleId="32">
    <w:name w:val="Table Grid"/>
    <w:basedOn w:val="31"/>
    <w:qFormat/>
    <w:uiPriority w:val="59"/>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3">
    <w:name w:val="GW-标题4"/>
    <w:basedOn w:val="1"/>
    <w:qFormat/>
    <w:uiPriority w:val="0"/>
    <w:pPr>
      <w:numPr>
        <w:ilvl w:val="3"/>
        <w:numId w:val="1"/>
      </w:numPr>
      <w:tabs>
        <w:tab w:val="left" w:pos="8286"/>
      </w:tabs>
      <w:spacing w:line="600" w:lineRule="exact"/>
      <w:ind w:firstLine="0"/>
      <w:outlineLvl w:val="3"/>
    </w:pPr>
    <w:rPr>
      <w:rFonts w:ascii="黑体" w:hAnsi="宋体" w:eastAsia="黑体"/>
      <w:color w:val="000000"/>
      <w:spacing w:val="15"/>
      <w:sz w:val="30"/>
    </w:rPr>
  </w:style>
  <w:style w:type="paragraph" w:customStyle="1" w:styleId="34">
    <w:name w:val="表格文字"/>
    <w:basedOn w:val="1"/>
    <w:qFormat/>
    <w:uiPriority w:val="0"/>
    <w:pPr>
      <w:spacing w:before="25" w:after="25" w:line="300" w:lineRule="auto"/>
    </w:pPr>
    <w:rPr>
      <w:rFonts w:ascii="Times" w:hAnsi="Times"/>
      <w:spacing w:val="10"/>
      <w:sz w:val="24"/>
      <w:szCs w:val="20"/>
    </w:rPr>
  </w:style>
  <w:style w:type="paragraph" w:customStyle="1" w:styleId="35">
    <w:name w:val="列出段落1"/>
    <w:basedOn w:val="1"/>
    <w:qFormat/>
    <w:uiPriority w:val="34"/>
    <w:pPr>
      <w:ind w:firstLine="420" w:firstLineChars="200"/>
    </w:pPr>
  </w:style>
  <w:style w:type="paragraph" w:customStyle="1" w:styleId="36">
    <w:name w:val="正文缩进2格"/>
    <w:basedOn w:val="1"/>
    <w:link w:val="54"/>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7">
    <w:name w:val="正文缩进4格"/>
    <w:basedOn w:val="36"/>
    <w:qFormat/>
    <w:uiPriority w:val="0"/>
    <w:pPr>
      <w:ind w:left="2" w:firstLine="538" w:firstLineChars="192"/>
    </w:pPr>
    <w:rPr>
      <w:color w:val="0000FF"/>
      <w:sz w:val="28"/>
    </w:rPr>
  </w:style>
  <w:style w:type="paragraph" w:customStyle="1" w:styleId="38">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9">
    <w:name w:val="标题 3.1"/>
    <w:basedOn w:val="4"/>
    <w:link w:val="57"/>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paragraph" w:customStyle="1" w:styleId="40">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paragraph" w:customStyle="1" w:styleId="41">
    <w:name w:val="列出段落1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paragraph" w:customStyle="1" w:styleId="42">
    <w:name w:val="[基本段落]"/>
    <w:basedOn w:val="1"/>
    <w:qFormat/>
    <w:uiPriority w:val="0"/>
    <w:pPr>
      <w:autoSpaceDE w:val="0"/>
      <w:autoSpaceDN w:val="0"/>
      <w:spacing w:line="288" w:lineRule="auto"/>
    </w:pPr>
    <w:rPr>
      <w:rFonts w:ascii="宋体" w:cs="宋体"/>
      <w:color w:val="000000"/>
      <w:sz w:val="24"/>
      <w:lang w:val="zh-CN"/>
    </w:rPr>
  </w:style>
  <w:style w:type="paragraph" w:customStyle="1" w:styleId="43">
    <w:name w:val="正文1"/>
    <w:basedOn w:val="1"/>
    <w:qFormat/>
    <w:uiPriority w:val="0"/>
    <w:pPr>
      <w:tabs>
        <w:tab w:val="left" w:pos="420"/>
      </w:tabs>
      <w:spacing w:line="360" w:lineRule="auto"/>
      <w:ind w:firstLine="432"/>
    </w:pPr>
    <w:rPr>
      <w:rFonts w:ascii="宋体" w:hAnsi="宋体"/>
      <w:b/>
      <w:sz w:val="24"/>
    </w:rPr>
  </w:style>
  <w:style w:type="paragraph" w:customStyle="1" w:styleId="44">
    <w:name w:val="Table Paragraph"/>
    <w:basedOn w:val="1"/>
    <w:qFormat/>
    <w:uiPriority w:val="1"/>
    <w:pPr>
      <w:spacing w:before="15"/>
      <w:ind w:left="318"/>
      <w:jc w:val="center"/>
    </w:pPr>
    <w:rPr>
      <w:rFonts w:ascii="宋体" w:hAnsi="宋体" w:eastAsia="宋体" w:cs="宋体"/>
      <w:lang w:val="zh-CN" w:bidi="zh-CN"/>
    </w:rPr>
  </w:style>
  <w:style w:type="paragraph" w:customStyle="1" w:styleId="45">
    <w:name w:val="纯文本1"/>
    <w:qFormat/>
    <w:uiPriority w:val="0"/>
    <w:rPr>
      <w:rFonts w:ascii="宋体" w:hAnsi="Courier New" w:eastAsia="宋体" w:cs="Courier New"/>
      <w:kern w:val="2"/>
      <w:sz w:val="21"/>
      <w:szCs w:val="21"/>
      <w:lang w:val="en-US" w:eastAsia="zh-CN" w:bidi="ar-SA"/>
    </w:rPr>
  </w:style>
  <w:style w:type="paragraph" w:customStyle="1" w:styleId="46">
    <w:name w:val="正文文本缩进 3_0"/>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customStyle="1" w:styleId="47">
    <w:name w:val="正文_0_0"/>
    <w:next w:val="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目录 2_0"/>
    <w:next w:val="47"/>
    <w:qFormat/>
    <w:uiPriority w:val="39"/>
    <w:pPr>
      <w:widowControl w:val="0"/>
      <w:tabs>
        <w:tab w:val="right" w:leader="dot" w:pos="9402"/>
      </w:tabs>
      <w:spacing w:line="360" w:lineRule="auto"/>
      <w:ind w:left="993" w:leftChars="202" w:hanging="569" w:hangingChars="237"/>
      <w:jc w:val="both"/>
    </w:pPr>
    <w:rPr>
      <w:rFonts w:ascii="Calibri" w:hAnsi="Calibri" w:eastAsia="宋体" w:cs="Times New Roman"/>
      <w:kern w:val="2"/>
      <w:sz w:val="21"/>
      <w:szCs w:val="22"/>
      <w:lang w:val="en-US" w:eastAsia="zh-CN" w:bidi="ar-SA"/>
    </w:rPr>
  </w:style>
  <w:style w:type="paragraph" w:customStyle="1" w:styleId="49">
    <w:name w:val="GW-标题5"/>
    <w:basedOn w:val="33"/>
    <w:next w:val="50"/>
    <w:qFormat/>
    <w:uiPriority w:val="0"/>
    <w:pPr>
      <w:numPr>
        <w:ilvl w:val="4"/>
        <w:numId w:val="1"/>
      </w:numPr>
      <w:outlineLvl w:val="4"/>
    </w:pPr>
    <w:rPr>
      <w:sz w:val="28"/>
    </w:rPr>
  </w:style>
  <w:style w:type="paragraph" w:customStyle="1" w:styleId="50">
    <w:name w:val="*正文"/>
    <w:basedOn w:val="1"/>
    <w:qFormat/>
    <w:uiPriority w:val="0"/>
    <w:rPr>
      <w:rFonts w:ascii="仿宋_GB2312" w:eastAsia="仿宋_GB2312"/>
      <w:bCs/>
      <w:kern w:val="2"/>
      <w:sz w:val="24"/>
      <w:szCs w:val="28"/>
    </w:rPr>
  </w:style>
  <w:style w:type="character" w:customStyle="1" w:styleId="51">
    <w:name w:val="标题 2 Char"/>
    <w:basedOn w:val="26"/>
    <w:link w:val="3"/>
    <w:qFormat/>
    <w:uiPriority w:val="9"/>
    <w:rPr>
      <w:rFonts w:ascii="Cambria" w:hAnsi="Cambria" w:eastAsia="宋体" w:cs="黑体"/>
      <w:b/>
      <w:bCs/>
      <w:sz w:val="32"/>
      <w:szCs w:val="32"/>
    </w:rPr>
  </w:style>
  <w:style w:type="character" w:customStyle="1" w:styleId="52">
    <w:name w:val="标题 3 Char"/>
    <w:basedOn w:val="26"/>
    <w:link w:val="4"/>
    <w:qFormat/>
    <w:uiPriority w:val="9"/>
    <w:rPr>
      <w:rFonts w:ascii="Tahoma" w:hAnsi="Tahoma"/>
      <w:b/>
      <w:bCs/>
      <w:sz w:val="32"/>
      <w:szCs w:val="32"/>
    </w:rPr>
  </w:style>
  <w:style w:type="character" w:customStyle="1" w:styleId="53">
    <w:name w:val="标题 4 Char"/>
    <w:basedOn w:val="26"/>
    <w:link w:val="5"/>
    <w:qFormat/>
    <w:uiPriority w:val="9"/>
    <w:rPr>
      <w:rFonts w:ascii="Cambria" w:hAnsi="Cambria" w:eastAsia="宋体" w:cs="黑体"/>
      <w:b/>
      <w:bCs/>
      <w:sz w:val="28"/>
      <w:szCs w:val="28"/>
    </w:rPr>
  </w:style>
  <w:style w:type="character" w:customStyle="1" w:styleId="54">
    <w:name w:val="正文缩进2格 Char"/>
    <w:link w:val="36"/>
    <w:qFormat/>
    <w:uiPriority w:val="0"/>
    <w:rPr>
      <w:rFonts w:ascii="仿宋_GB2312" w:hAnsi="宋体" w:eastAsia="仿宋_GB2312"/>
      <w:kern w:val="2"/>
      <w:sz w:val="31"/>
    </w:rPr>
  </w:style>
  <w:style w:type="character" w:customStyle="1" w:styleId="55">
    <w:name w:val="正文缩进2格 Char Char"/>
    <w:qFormat/>
    <w:uiPriority w:val="0"/>
    <w:rPr>
      <w:rFonts w:ascii="仿宋_GB2312" w:hAnsi="宋体" w:eastAsia="仿宋_GB2312" w:cs="Times New Roman"/>
      <w:b/>
      <w:kern w:val="2"/>
      <w:sz w:val="31"/>
      <w:szCs w:val="28"/>
      <w:lang w:val="en-US" w:eastAsia="zh-CN" w:bidi="ar-SA"/>
    </w:rPr>
  </w:style>
  <w:style w:type="character" w:customStyle="1" w:styleId="56">
    <w:name w:val="标题1"/>
    <w:qFormat/>
    <w:uiPriority w:val="0"/>
    <w:rPr>
      <w:rFonts w:ascii="Times New Roman" w:hAnsi="Times New Roman" w:eastAsia="宋体" w:cs="Times New Roman"/>
      <w:b/>
      <w:kern w:val="0"/>
      <w:sz w:val="24"/>
      <w:szCs w:val="20"/>
      <w:lang w:eastAsia="en-US"/>
    </w:rPr>
  </w:style>
  <w:style w:type="character" w:customStyle="1" w:styleId="57">
    <w:name w:val="标题 3.1 Char"/>
    <w:link w:val="39"/>
    <w:qFormat/>
    <w:uiPriority w:val="0"/>
    <w:rPr>
      <w:rFonts w:ascii="宋体" w:hAnsi="宋体" w:eastAsia="宋体"/>
      <w:b/>
      <w:color w:val="FF0000"/>
      <w:kern w:val="2"/>
      <w:sz w:val="32"/>
    </w:rPr>
  </w:style>
  <w:style w:type="character" w:customStyle="1" w:styleId="58">
    <w:name w:val="样式 楷体_GB2312 小四"/>
    <w:qFormat/>
    <w:uiPriority w:val="0"/>
    <w:rPr>
      <w:rFonts w:ascii="楷体_GB2312" w:hAnsi="楷体_GB2312" w:eastAsia="仿宋_GB2312"/>
      <w:sz w:val="24"/>
    </w:rPr>
  </w:style>
  <w:style w:type="character" w:customStyle="1" w:styleId="59">
    <w:name w:val="纯文本 Char"/>
    <w:qFormat/>
    <w:uiPriority w:val="0"/>
    <w:rPr>
      <w:rFonts w:ascii="宋体" w:hAnsi="Courier New" w:eastAsia="宋体" w:cs="Times New Roman"/>
      <w:b/>
      <w:kern w:val="2"/>
      <w:sz w:val="21"/>
      <w:szCs w:val="20"/>
    </w:rPr>
  </w:style>
  <w:style w:type="character" w:customStyle="1" w:styleId="60">
    <w:name w:val="纯文本 Char1"/>
    <w:basedOn w:val="26"/>
    <w:link w:val="13"/>
    <w:semiHidden/>
    <w:qFormat/>
    <w:uiPriority w:val="99"/>
    <w:rPr>
      <w:rFonts w:ascii="宋体" w:hAnsi="Courier New" w:eastAsia="宋体" w:cs="Courier New"/>
      <w:sz w:val="21"/>
      <w:szCs w:val="21"/>
    </w:rPr>
  </w:style>
  <w:style w:type="character" w:customStyle="1" w:styleId="61">
    <w:name w:val="页眉 Char"/>
    <w:basedOn w:val="26"/>
    <w:link w:val="18"/>
    <w:qFormat/>
    <w:uiPriority w:val="99"/>
    <w:rPr>
      <w:rFonts w:ascii="Tahoma" w:hAnsi="Tahoma"/>
      <w:sz w:val="18"/>
      <w:szCs w:val="18"/>
    </w:rPr>
  </w:style>
  <w:style w:type="character" w:customStyle="1" w:styleId="62">
    <w:name w:val="页脚 Char"/>
    <w:basedOn w:val="26"/>
    <w:link w:val="16"/>
    <w:qFormat/>
    <w:uiPriority w:val="99"/>
    <w:rPr>
      <w:rFonts w:ascii="Tahoma" w:hAnsi="Tahoma"/>
      <w:sz w:val="18"/>
      <w:szCs w:val="18"/>
    </w:rPr>
  </w:style>
  <w:style w:type="character" w:customStyle="1" w:styleId="63">
    <w:name w:val="批注框文本 Char"/>
    <w:basedOn w:val="26"/>
    <w:link w:val="15"/>
    <w:semiHidden/>
    <w:qFormat/>
    <w:uiPriority w:val="99"/>
    <w:rPr>
      <w:rFonts w:ascii="Tahoma" w:hAnsi="Tahoma"/>
      <w:sz w:val="18"/>
      <w:szCs w:val="18"/>
    </w:rPr>
  </w:style>
  <w:style w:type="character" w:customStyle="1" w:styleId="64">
    <w:name w:val="普通(网站) Char"/>
    <w:link w:val="25"/>
    <w:qFormat/>
    <w:uiPriority w:val="0"/>
    <w:rPr>
      <w:rFonts w:eastAsia="宋体"/>
      <w:kern w:val="2"/>
      <w:sz w:val="24"/>
      <w:szCs w:val="24"/>
    </w:rPr>
  </w:style>
  <w:style w:type="character" w:customStyle="1" w:styleId="65">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4916</Words>
  <Characters>28025</Characters>
  <Lines>233</Lines>
  <Paragraphs>65</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1</cp:lastModifiedBy>
  <cp:lastPrinted>2019-04-01T01:49:00Z</cp:lastPrinted>
  <dcterms:modified xsi:type="dcterms:W3CDTF">2021-09-10T08:53:38Z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7E686F657EE1412CB06E99D4CE9C864F</vt:lpwstr>
  </property>
</Properties>
</file>